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2C9F" w14:textId="77777777" w:rsidR="00BE09DA" w:rsidRDefault="00BE09DA">
      <w:pPr>
        <w:rPr>
          <w:rFonts w:ascii="Century Gothic" w:hAnsi="Century Gothic"/>
          <w:b/>
          <w:bCs/>
          <w:color w:val="0E6CDD"/>
          <w:sz w:val="32"/>
        </w:rPr>
      </w:pPr>
    </w:p>
    <w:p w14:paraId="39C4B25E" w14:textId="1D461A36" w:rsidR="00ED0C38" w:rsidRPr="00AB6D75" w:rsidRDefault="003E28EF" w:rsidP="00AB6D75">
      <w:pPr>
        <w:pStyle w:val="Heading1"/>
        <w:rPr>
          <w:b/>
          <w:color w:val="auto"/>
        </w:rPr>
      </w:pPr>
      <w:bookmarkStart w:id="0" w:name="_GoBack"/>
      <w:r w:rsidRPr="00AB6D75">
        <w:rPr>
          <w:b/>
          <w:color w:val="auto"/>
        </w:rPr>
        <w:t>Progress tracker</w:t>
      </w:r>
      <w:bookmarkEnd w:id="0"/>
      <w:r w:rsidR="00ED0C38" w:rsidRPr="00AB6D75">
        <w:rPr>
          <w:b/>
          <w:color w:val="auto"/>
        </w:rPr>
        <w:t>: Changing the way that Strategic decisions are made to m</w:t>
      </w:r>
      <w:r w:rsidR="00926F24" w:rsidRPr="00AB6D75">
        <w:rPr>
          <w:b/>
          <w:color w:val="auto"/>
        </w:rPr>
        <w:t>eet the Socio-economic Duty</w:t>
      </w:r>
    </w:p>
    <w:p w14:paraId="49FB9B7C" w14:textId="77777777" w:rsidR="00BE09DA" w:rsidRPr="00AB6D75" w:rsidRDefault="00BE09DA">
      <w:pPr>
        <w:rPr>
          <w:rFonts w:ascii="Arial" w:hAnsi="Arial" w:cs="Arial"/>
          <w:b/>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lease enter your details in the second column:&#10;Row 1: Name of public body;&#10;Row 2: Name and role of lead contact person;&#10;Row 3: Email address of lead contact person"/>
      </w:tblPr>
      <w:tblGrid>
        <w:gridCol w:w="5240"/>
        <w:gridCol w:w="7938"/>
      </w:tblGrid>
      <w:tr w:rsidR="00E473DE" w:rsidRPr="00AB6D75" w14:paraId="61E22998" w14:textId="77777777" w:rsidTr="005F08AC">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8CDFF" w14:textId="1EBD4D51" w:rsidR="00E473DE" w:rsidRPr="00AB6D75" w:rsidRDefault="00742E96" w:rsidP="0034116C">
            <w:pPr>
              <w:rPr>
                <w:rFonts w:ascii="Arial" w:hAnsi="Arial" w:cs="Arial"/>
                <w:b/>
              </w:rPr>
            </w:pPr>
            <w:r w:rsidRPr="00AB6D75">
              <w:rPr>
                <w:rFonts w:ascii="Arial" w:hAnsi="Arial" w:cs="Arial"/>
                <w:b/>
              </w:rPr>
              <w:t xml:space="preserve">Name of </w:t>
            </w:r>
            <w:r w:rsidR="00ED0C38" w:rsidRPr="00AB6D75">
              <w:rPr>
                <w:rFonts w:ascii="Arial" w:hAnsi="Arial" w:cs="Arial"/>
                <w:b/>
              </w:rPr>
              <w:t>public body</w:t>
            </w:r>
          </w:p>
        </w:tc>
        <w:tc>
          <w:tcPr>
            <w:tcW w:w="7938" w:type="dxa"/>
            <w:tcBorders>
              <w:top w:val="single" w:sz="4" w:space="0" w:color="auto"/>
              <w:left w:val="single" w:sz="4" w:space="0" w:color="auto"/>
              <w:bottom w:val="single" w:sz="4" w:space="0" w:color="auto"/>
              <w:right w:val="single" w:sz="4" w:space="0" w:color="auto"/>
            </w:tcBorders>
          </w:tcPr>
          <w:p w14:paraId="1F538355" w14:textId="77777777" w:rsidR="00E473DE" w:rsidRPr="00AB6D75" w:rsidRDefault="00E473DE" w:rsidP="0034116C">
            <w:pPr>
              <w:rPr>
                <w:rFonts w:ascii="Arial" w:hAnsi="Arial" w:cs="Arial"/>
                <w:b/>
              </w:rPr>
            </w:pPr>
          </w:p>
        </w:tc>
      </w:tr>
      <w:tr w:rsidR="00E473DE" w:rsidRPr="00AB6D75" w14:paraId="0C92A50C" w14:textId="77777777" w:rsidTr="0060135D">
        <w:tc>
          <w:tcPr>
            <w:tcW w:w="5240" w:type="dxa"/>
            <w:tcBorders>
              <w:top w:val="single" w:sz="4" w:space="0" w:color="auto"/>
              <w:bottom w:val="single" w:sz="4" w:space="0" w:color="auto"/>
            </w:tcBorders>
          </w:tcPr>
          <w:p w14:paraId="3C62A4A1" w14:textId="77777777" w:rsidR="00E473DE" w:rsidRPr="00AB6D75" w:rsidRDefault="00E473DE" w:rsidP="0034116C">
            <w:pPr>
              <w:rPr>
                <w:rFonts w:ascii="Arial" w:hAnsi="Arial" w:cs="Arial"/>
                <w:b/>
              </w:rPr>
            </w:pPr>
          </w:p>
        </w:tc>
        <w:tc>
          <w:tcPr>
            <w:tcW w:w="7938" w:type="dxa"/>
            <w:tcBorders>
              <w:top w:val="single" w:sz="4" w:space="0" w:color="auto"/>
              <w:bottom w:val="single" w:sz="4" w:space="0" w:color="auto"/>
            </w:tcBorders>
          </w:tcPr>
          <w:p w14:paraId="2F528A5C" w14:textId="77777777" w:rsidR="00E473DE" w:rsidRPr="00AB6D75" w:rsidRDefault="00E473DE" w:rsidP="0034116C">
            <w:pPr>
              <w:rPr>
                <w:rFonts w:ascii="Arial" w:hAnsi="Arial" w:cs="Arial"/>
                <w:b/>
              </w:rPr>
            </w:pPr>
          </w:p>
        </w:tc>
      </w:tr>
      <w:tr w:rsidR="00E473DE" w:rsidRPr="00AB6D75" w14:paraId="6F31B6CB" w14:textId="77777777" w:rsidTr="0060135D">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2649F" w14:textId="77777777" w:rsidR="00E473DE" w:rsidRPr="00AB6D75" w:rsidRDefault="00E473DE" w:rsidP="0034116C">
            <w:pPr>
              <w:rPr>
                <w:rFonts w:ascii="Arial" w:hAnsi="Arial" w:cs="Arial"/>
                <w:b/>
              </w:rPr>
            </w:pPr>
            <w:r w:rsidRPr="00AB6D75">
              <w:rPr>
                <w:rFonts w:ascii="Arial" w:hAnsi="Arial" w:cs="Arial"/>
                <w:b/>
              </w:rPr>
              <w:t xml:space="preserve">Name </w:t>
            </w:r>
            <w:r w:rsidR="00071DD8" w:rsidRPr="00AB6D75">
              <w:rPr>
                <w:rFonts w:ascii="Arial" w:hAnsi="Arial" w:cs="Arial"/>
                <w:b/>
              </w:rPr>
              <w:t xml:space="preserve">and role </w:t>
            </w:r>
            <w:r w:rsidRPr="00AB6D75">
              <w:rPr>
                <w:rFonts w:ascii="Arial" w:hAnsi="Arial" w:cs="Arial"/>
                <w:b/>
              </w:rPr>
              <w:t>of lead contact person</w:t>
            </w:r>
          </w:p>
        </w:tc>
        <w:tc>
          <w:tcPr>
            <w:tcW w:w="7938" w:type="dxa"/>
            <w:tcBorders>
              <w:top w:val="single" w:sz="4" w:space="0" w:color="auto"/>
              <w:left w:val="single" w:sz="4" w:space="0" w:color="auto"/>
              <w:bottom w:val="single" w:sz="4" w:space="0" w:color="auto"/>
              <w:right w:val="single" w:sz="4" w:space="0" w:color="auto"/>
            </w:tcBorders>
          </w:tcPr>
          <w:p w14:paraId="526B087E" w14:textId="77777777" w:rsidR="00E473DE" w:rsidRPr="00AB6D75" w:rsidRDefault="00E473DE" w:rsidP="7173DC04">
            <w:pPr>
              <w:rPr>
                <w:rFonts w:ascii="Arial" w:hAnsi="Arial" w:cs="Arial"/>
                <w:b/>
                <w:bCs/>
              </w:rPr>
            </w:pPr>
          </w:p>
        </w:tc>
      </w:tr>
      <w:tr w:rsidR="00E473DE" w:rsidRPr="00AB6D75" w14:paraId="16EB43E4" w14:textId="77777777" w:rsidTr="0060135D">
        <w:tc>
          <w:tcPr>
            <w:tcW w:w="5240" w:type="dxa"/>
            <w:tcBorders>
              <w:top w:val="single" w:sz="4" w:space="0" w:color="auto"/>
              <w:bottom w:val="single" w:sz="4" w:space="0" w:color="auto"/>
            </w:tcBorders>
          </w:tcPr>
          <w:p w14:paraId="5E797E69" w14:textId="77777777" w:rsidR="00E473DE" w:rsidRPr="00AB6D75" w:rsidRDefault="00E473DE" w:rsidP="0034116C">
            <w:pPr>
              <w:rPr>
                <w:rFonts w:ascii="Arial" w:hAnsi="Arial" w:cs="Arial"/>
                <w:b/>
              </w:rPr>
            </w:pPr>
          </w:p>
        </w:tc>
        <w:tc>
          <w:tcPr>
            <w:tcW w:w="7938" w:type="dxa"/>
            <w:tcBorders>
              <w:top w:val="single" w:sz="4" w:space="0" w:color="auto"/>
              <w:bottom w:val="single" w:sz="4" w:space="0" w:color="auto"/>
            </w:tcBorders>
          </w:tcPr>
          <w:p w14:paraId="75F36EB6" w14:textId="77777777" w:rsidR="00E473DE" w:rsidRPr="00AB6D75" w:rsidRDefault="00E473DE" w:rsidP="0034116C">
            <w:pPr>
              <w:rPr>
                <w:rFonts w:ascii="Arial" w:hAnsi="Arial" w:cs="Arial"/>
                <w:b/>
              </w:rPr>
            </w:pPr>
          </w:p>
        </w:tc>
      </w:tr>
      <w:tr w:rsidR="00E473DE" w:rsidRPr="00AB6D75" w14:paraId="6C971DAE" w14:textId="77777777" w:rsidTr="0060135D">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83A66" w14:textId="77777777" w:rsidR="00E473DE" w:rsidRPr="00AB6D75" w:rsidRDefault="00E473DE" w:rsidP="0034116C">
            <w:pPr>
              <w:rPr>
                <w:rFonts w:ascii="Arial" w:hAnsi="Arial" w:cs="Arial"/>
                <w:b/>
              </w:rPr>
            </w:pPr>
            <w:r w:rsidRPr="00AB6D75">
              <w:rPr>
                <w:rFonts w:ascii="Arial" w:hAnsi="Arial" w:cs="Arial"/>
                <w:b/>
              </w:rPr>
              <w:t>Email of lead contact person</w:t>
            </w:r>
          </w:p>
        </w:tc>
        <w:tc>
          <w:tcPr>
            <w:tcW w:w="7938" w:type="dxa"/>
            <w:tcBorders>
              <w:top w:val="single" w:sz="4" w:space="0" w:color="auto"/>
              <w:left w:val="single" w:sz="4" w:space="0" w:color="auto"/>
              <w:bottom w:val="single" w:sz="4" w:space="0" w:color="auto"/>
              <w:right w:val="single" w:sz="4" w:space="0" w:color="auto"/>
            </w:tcBorders>
          </w:tcPr>
          <w:p w14:paraId="1D053A37" w14:textId="77777777" w:rsidR="00E473DE" w:rsidRPr="00AB6D75" w:rsidRDefault="00E473DE" w:rsidP="0034116C">
            <w:pPr>
              <w:rPr>
                <w:rFonts w:ascii="Arial" w:hAnsi="Arial" w:cs="Arial"/>
                <w:b/>
              </w:rPr>
            </w:pPr>
          </w:p>
        </w:tc>
      </w:tr>
    </w:tbl>
    <w:p w14:paraId="7C5A83E9" w14:textId="77777777" w:rsidR="00602FC8" w:rsidRPr="00AB6D75" w:rsidRDefault="00602FC8">
      <w:pPr>
        <w:rPr>
          <w:rFonts w:ascii="Arial" w:hAnsi="Arial" w:cs="Arial"/>
          <w:b/>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lease enter details in the second column as follows: Names and roles of team members undertaking completion of this tool."/>
      </w:tblPr>
      <w:tblGrid>
        <w:gridCol w:w="5240"/>
        <w:gridCol w:w="7938"/>
      </w:tblGrid>
      <w:tr w:rsidR="00602FC8" w:rsidRPr="00AB6D75" w14:paraId="4AD574EF" w14:textId="77777777" w:rsidTr="005F08AC">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6A78" w14:textId="77777777" w:rsidR="00602FC8" w:rsidRPr="00AB6D75" w:rsidRDefault="00071DD8" w:rsidP="009A2F35">
            <w:pPr>
              <w:rPr>
                <w:rFonts w:ascii="Arial" w:hAnsi="Arial" w:cs="Arial"/>
                <w:b/>
              </w:rPr>
            </w:pPr>
            <w:r w:rsidRPr="00AB6D75">
              <w:rPr>
                <w:rFonts w:ascii="Arial" w:hAnsi="Arial" w:cs="Arial"/>
                <w:b/>
              </w:rPr>
              <w:t>Names and roles</w:t>
            </w:r>
            <w:r w:rsidR="00602FC8" w:rsidRPr="00AB6D75">
              <w:rPr>
                <w:rFonts w:ascii="Arial" w:hAnsi="Arial" w:cs="Arial"/>
                <w:b/>
              </w:rPr>
              <w:t xml:space="preserve"> of </w:t>
            </w:r>
            <w:r w:rsidRPr="00AB6D75">
              <w:rPr>
                <w:rFonts w:ascii="Arial" w:hAnsi="Arial" w:cs="Arial"/>
                <w:b/>
              </w:rPr>
              <w:t>team members</w:t>
            </w:r>
            <w:r w:rsidR="00624E17" w:rsidRPr="00AB6D75">
              <w:rPr>
                <w:rFonts w:ascii="Arial" w:hAnsi="Arial" w:cs="Arial"/>
                <w:b/>
              </w:rPr>
              <w:t xml:space="preserve"> undertaking completion of th</w:t>
            </w:r>
            <w:r w:rsidR="005513F3" w:rsidRPr="00AB6D75">
              <w:rPr>
                <w:rFonts w:ascii="Arial" w:hAnsi="Arial" w:cs="Arial"/>
                <w:b/>
              </w:rPr>
              <w:t>is</w:t>
            </w:r>
            <w:r w:rsidR="00624E17" w:rsidRPr="00AB6D75">
              <w:rPr>
                <w:rFonts w:ascii="Arial" w:hAnsi="Arial" w:cs="Arial"/>
                <w:b/>
              </w:rPr>
              <w:t xml:space="preserve"> tool.</w:t>
            </w:r>
          </w:p>
        </w:tc>
        <w:tc>
          <w:tcPr>
            <w:tcW w:w="7938" w:type="dxa"/>
            <w:tcBorders>
              <w:top w:val="single" w:sz="4" w:space="0" w:color="auto"/>
              <w:left w:val="single" w:sz="4" w:space="0" w:color="auto"/>
              <w:bottom w:val="single" w:sz="4" w:space="0" w:color="auto"/>
              <w:right w:val="single" w:sz="4" w:space="0" w:color="auto"/>
            </w:tcBorders>
          </w:tcPr>
          <w:p w14:paraId="47985BEE" w14:textId="77777777" w:rsidR="00071DD8" w:rsidRPr="00AB6D75" w:rsidRDefault="00071DD8" w:rsidP="009A2F35">
            <w:pPr>
              <w:rPr>
                <w:rFonts w:ascii="Arial" w:hAnsi="Arial" w:cs="Arial"/>
                <w:b/>
              </w:rPr>
            </w:pPr>
          </w:p>
          <w:p w14:paraId="3B0B873D" w14:textId="77777777" w:rsidR="00071DD8" w:rsidRPr="00AB6D75" w:rsidRDefault="00071DD8" w:rsidP="009A2F35">
            <w:pPr>
              <w:rPr>
                <w:rFonts w:ascii="Arial" w:hAnsi="Arial" w:cs="Arial"/>
                <w:b/>
              </w:rPr>
            </w:pPr>
          </w:p>
          <w:p w14:paraId="444FF777" w14:textId="77777777" w:rsidR="00071DD8" w:rsidRPr="00AB6D75" w:rsidRDefault="00071DD8" w:rsidP="009A2F35">
            <w:pPr>
              <w:rPr>
                <w:rFonts w:ascii="Arial" w:hAnsi="Arial" w:cs="Arial"/>
                <w:b/>
              </w:rPr>
            </w:pPr>
          </w:p>
        </w:tc>
      </w:tr>
    </w:tbl>
    <w:p w14:paraId="5F2376A7" w14:textId="77777777" w:rsidR="00742E96" w:rsidRPr="00AB6D75" w:rsidRDefault="009A2F35" w:rsidP="00742E96">
      <w:pPr>
        <w:rPr>
          <w:rFonts w:ascii="Arial" w:hAnsi="Arial" w:cs="Arial"/>
          <w:b/>
          <w:u w:val="single"/>
        </w:rPr>
      </w:pPr>
      <w:r w:rsidRPr="00AB6D75">
        <w:rPr>
          <w:rFonts w:ascii="Arial" w:hAnsi="Arial" w:cs="Arial"/>
          <w:b/>
          <w:u w:val="single"/>
        </w:rPr>
        <w:br w:type="textWrapping" w:clear="all"/>
      </w:r>
    </w:p>
    <w:p w14:paraId="08CC6996" w14:textId="6307A132" w:rsidR="00C740F5" w:rsidRPr="00AB6D75" w:rsidRDefault="00C740F5" w:rsidP="00742E96">
      <w:pPr>
        <w:rPr>
          <w:rFonts w:ascii="Arial" w:hAnsi="Arial" w:cs="Arial"/>
          <w:b/>
        </w:rPr>
      </w:pPr>
      <w:r w:rsidRPr="00AB6D75">
        <w:rPr>
          <w:rFonts w:ascii="Arial" w:hAnsi="Arial" w:cs="Arial"/>
          <w:b/>
        </w:rPr>
        <w:t>The Equality Act, 2010</w:t>
      </w:r>
      <w:r w:rsidR="00001F89">
        <w:rPr>
          <w:rFonts w:ascii="Arial" w:hAnsi="Arial" w:cs="Arial"/>
          <w:b/>
        </w:rPr>
        <w:t xml:space="preserve"> </w:t>
      </w:r>
      <w:r w:rsidRPr="00AB6D75">
        <w:rPr>
          <w:rFonts w:ascii="Arial" w:hAnsi="Arial" w:cs="Arial"/>
          <w:b/>
        </w:rPr>
        <w:t>- The Socio-economic Duty</w:t>
      </w:r>
    </w:p>
    <w:p w14:paraId="56AE0B08" w14:textId="77777777" w:rsidR="00C740F5" w:rsidRPr="00AB6D75" w:rsidRDefault="00C740F5" w:rsidP="00742E96">
      <w:pPr>
        <w:rPr>
          <w:rFonts w:ascii="Arial" w:hAnsi="Arial" w:cs="Arial"/>
        </w:rPr>
      </w:pPr>
    </w:p>
    <w:p w14:paraId="2F8CE6A1" w14:textId="0B939163" w:rsidR="00C740F5" w:rsidRPr="00AB6D75" w:rsidRDefault="00C740F5" w:rsidP="00742E96">
      <w:pPr>
        <w:rPr>
          <w:rFonts w:ascii="Arial" w:hAnsi="Arial" w:cs="Arial"/>
        </w:rPr>
      </w:pPr>
      <w:r w:rsidRPr="00AB6D75">
        <w:rPr>
          <w:rFonts w:ascii="Arial" w:hAnsi="Arial" w:cs="Arial"/>
        </w:rPr>
        <w:t xml:space="preserve">Public bodies subject to the Duty must, when making decisions of a strategic nature about how to exercise their functions, have due regard to the desirability of exercising them in a way that is designed to reduce the inequalities of outcome which result from socio-economic disadvantage. </w:t>
      </w:r>
      <w:r w:rsidR="00D044EE" w:rsidRPr="00AB6D75">
        <w:rPr>
          <w:rFonts w:ascii="Arial" w:hAnsi="Arial" w:cs="Arial"/>
        </w:rPr>
        <w:t>There is no reporting duty attached to the Duty. However, it is a statutory duty and bodies must be able to demonstrate how they have discharged it.</w:t>
      </w:r>
    </w:p>
    <w:p w14:paraId="689D20FF" w14:textId="77777777" w:rsidR="00C740F5" w:rsidRPr="00AB6D75" w:rsidRDefault="00C740F5" w:rsidP="00742E96">
      <w:pPr>
        <w:rPr>
          <w:rFonts w:ascii="Arial" w:hAnsi="Arial" w:cs="Arial"/>
        </w:rPr>
      </w:pPr>
    </w:p>
    <w:p w14:paraId="2A45CB81" w14:textId="6600DE41" w:rsidR="00624E17" w:rsidRPr="00AB6D75" w:rsidRDefault="00620E8F" w:rsidP="00742E96">
      <w:pPr>
        <w:rPr>
          <w:rFonts w:ascii="Arial" w:hAnsi="Arial" w:cs="Arial"/>
          <w:b/>
          <w:u w:val="single"/>
        </w:rPr>
      </w:pPr>
      <w:r>
        <w:rPr>
          <w:rFonts w:ascii="Arial" w:eastAsia="Times New Roman" w:hAnsi="Arial" w:cs="Arial"/>
          <w:b/>
          <w:iCs/>
        </w:rPr>
        <w:t>The Progress Tracker T</w:t>
      </w:r>
      <w:r w:rsidR="00ED0C38" w:rsidRPr="00AB6D75">
        <w:rPr>
          <w:rFonts w:ascii="Arial" w:eastAsia="Times New Roman" w:hAnsi="Arial" w:cs="Arial"/>
          <w:b/>
          <w:iCs/>
        </w:rPr>
        <w:t>ool</w:t>
      </w:r>
    </w:p>
    <w:p w14:paraId="41A1DE14" w14:textId="21FDE556" w:rsidR="00926F24" w:rsidRPr="00AB6D75" w:rsidRDefault="00377F21" w:rsidP="00D7306E">
      <w:pPr>
        <w:spacing w:before="100" w:beforeAutospacing="1" w:after="100" w:afterAutospacing="1"/>
        <w:rPr>
          <w:rFonts w:ascii="Arial" w:eastAsia="Times New Roman" w:hAnsi="Arial" w:cs="Arial"/>
        </w:rPr>
      </w:pPr>
      <w:r w:rsidRPr="00AB6D75">
        <w:rPr>
          <w:rFonts w:ascii="Arial" w:eastAsia="Times New Roman" w:hAnsi="Arial" w:cs="Arial"/>
        </w:rPr>
        <w:t>The Socio-economic Duty progress tracker to</w:t>
      </w:r>
      <w:r w:rsidR="003C7EF8" w:rsidRPr="00AB6D75">
        <w:rPr>
          <w:rFonts w:ascii="Arial" w:eastAsia="Times New Roman" w:hAnsi="Arial" w:cs="Arial"/>
        </w:rPr>
        <w:t xml:space="preserve">ol has been developed to support bodies </w:t>
      </w:r>
      <w:r w:rsidR="00033A5B" w:rsidRPr="00AB6D75">
        <w:rPr>
          <w:rFonts w:ascii="Arial" w:eastAsia="Times New Roman" w:hAnsi="Arial" w:cs="Arial"/>
        </w:rPr>
        <w:t>in meeting the requirements of the Duty, and going beyond this to achieve meaningful change</w:t>
      </w:r>
      <w:r w:rsidR="0030431B" w:rsidRPr="00AB6D75">
        <w:rPr>
          <w:rFonts w:ascii="Arial" w:eastAsia="Times New Roman" w:hAnsi="Arial" w:cs="Arial"/>
        </w:rPr>
        <w:t xml:space="preserve"> in the way that important decisions are made.</w:t>
      </w:r>
    </w:p>
    <w:p w14:paraId="3A67E3C4" w14:textId="77777777" w:rsidR="00F4456A" w:rsidRPr="00AB6D75" w:rsidRDefault="00F4456A" w:rsidP="00D7306E">
      <w:pPr>
        <w:spacing w:before="100" w:beforeAutospacing="1" w:after="100" w:afterAutospacing="1"/>
        <w:rPr>
          <w:rFonts w:ascii="Arial" w:eastAsia="Times New Roman" w:hAnsi="Arial" w:cs="Arial"/>
          <w:b/>
        </w:rPr>
      </w:pPr>
    </w:p>
    <w:p w14:paraId="7CF97CDE" w14:textId="77777777" w:rsidR="00D044EE" w:rsidRPr="00AB6D75" w:rsidRDefault="00D044EE" w:rsidP="00D7306E">
      <w:pPr>
        <w:spacing w:before="100" w:beforeAutospacing="1" w:after="100" w:afterAutospacing="1"/>
        <w:rPr>
          <w:rFonts w:ascii="Arial" w:eastAsia="Times New Roman" w:hAnsi="Arial" w:cs="Arial"/>
          <w:b/>
        </w:rPr>
      </w:pPr>
    </w:p>
    <w:p w14:paraId="592C3ADD" w14:textId="77777777" w:rsidR="0030431B" w:rsidRPr="00AB6D75" w:rsidRDefault="0030431B" w:rsidP="00D7306E">
      <w:pPr>
        <w:spacing w:before="100" w:beforeAutospacing="1" w:after="100" w:afterAutospacing="1"/>
        <w:rPr>
          <w:rFonts w:ascii="Arial" w:eastAsia="Times New Roman" w:hAnsi="Arial" w:cs="Arial"/>
          <w:b/>
        </w:rPr>
      </w:pPr>
    </w:p>
    <w:p w14:paraId="55500F78" w14:textId="6BD4AE36" w:rsidR="00DE6D5A" w:rsidRPr="00AB6D75" w:rsidRDefault="00DE6D5A" w:rsidP="00D7306E">
      <w:pPr>
        <w:spacing w:before="100" w:beforeAutospacing="1" w:after="100" w:afterAutospacing="1"/>
        <w:rPr>
          <w:rFonts w:ascii="Arial" w:eastAsia="Times New Roman" w:hAnsi="Arial" w:cs="Arial"/>
          <w:b/>
        </w:rPr>
      </w:pPr>
      <w:r w:rsidRPr="00AB6D75">
        <w:rPr>
          <w:rFonts w:ascii="Arial" w:eastAsia="Times New Roman" w:hAnsi="Arial" w:cs="Arial"/>
          <w:b/>
        </w:rPr>
        <w:lastRenderedPageBreak/>
        <w:t>Public Bodies should use the progress tracker to:</w:t>
      </w:r>
    </w:p>
    <w:p w14:paraId="7B6E583D" w14:textId="1086C22B" w:rsidR="00DE6D5A" w:rsidRPr="00AB6D75" w:rsidRDefault="00DE6D5A" w:rsidP="00DE6D5A">
      <w:pPr>
        <w:pStyle w:val="ListParagraph"/>
        <w:numPr>
          <w:ilvl w:val="0"/>
          <w:numId w:val="9"/>
        </w:numPr>
        <w:spacing w:before="100" w:beforeAutospacing="1" w:after="100" w:afterAutospacing="1"/>
        <w:rPr>
          <w:rFonts w:ascii="Arial" w:eastAsia="Times New Roman" w:hAnsi="Arial" w:cs="Arial"/>
        </w:rPr>
      </w:pPr>
      <w:r w:rsidRPr="00AB6D75">
        <w:rPr>
          <w:rFonts w:ascii="Arial" w:eastAsia="Times New Roman" w:hAnsi="Arial" w:cs="Arial"/>
        </w:rPr>
        <w:t xml:space="preserve">Benchmark how </w:t>
      </w:r>
      <w:r w:rsidR="00926F24" w:rsidRPr="00AB6D75">
        <w:rPr>
          <w:rFonts w:ascii="Arial" w:eastAsia="Times New Roman" w:hAnsi="Arial" w:cs="Arial"/>
        </w:rPr>
        <w:t xml:space="preserve">requirements of </w:t>
      </w:r>
      <w:r w:rsidRPr="00AB6D75">
        <w:rPr>
          <w:rFonts w:ascii="Arial" w:eastAsia="Times New Roman" w:hAnsi="Arial" w:cs="Arial"/>
        </w:rPr>
        <w:t xml:space="preserve">the </w:t>
      </w:r>
      <w:r w:rsidR="00926F24" w:rsidRPr="00AB6D75">
        <w:rPr>
          <w:rFonts w:ascii="Arial" w:eastAsia="Times New Roman" w:hAnsi="Arial" w:cs="Arial"/>
        </w:rPr>
        <w:t xml:space="preserve">Socio-economic Duty </w:t>
      </w:r>
      <w:r w:rsidRPr="00AB6D75">
        <w:rPr>
          <w:rFonts w:ascii="Arial" w:eastAsia="Times New Roman" w:hAnsi="Arial" w:cs="Arial"/>
        </w:rPr>
        <w:t>are being met across the organisation, understand</w:t>
      </w:r>
      <w:r w:rsidR="00926F24" w:rsidRPr="00AB6D75">
        <w:rPr>
          <w:rFonts w:ascii="Arial" w:eastAsia="Times New Roman" w:hAnsi="Arial" w:cs="Arial"/>
        </w:rPr>
        <w:t>ing</w:t>
      </w:r>
      <w:r w:rsidRPr="00AB6D75">
        <w:rPr>
          <w:rFonts w:ascii="Arial" w:eastAsia="Times New Roman" w:hAnsi="Arial" w:cs="Arial"/>
        </w:rPr>
        <w:t xml:space="preserve"> areas of strength and areas for improvement. </w:t>
      </w:r>
    </w:p>
    <w:p w14:paraId="533C20B5" w14:textId="1801DE3A" w:rsidR="00DE6D5A" w:rsidRPr="00AB6D75" w:rsidRDefault="00DE6D5A" w:rsidP="00DE6D5A">
      <w:pPr>
        <w:pStyle w:val="ListParagraph"/>
        <w:numPr>
          <w:ilvl w:val="0"/>
          <w:numId w:val="9"/>
        </w:numPr>
        <w:spacing w:before="100" w:beforeAutospacing="1" w:after="100" w:afterAutospacing="1"/>
        <w:rPr>
          <w:rFonts w:ascii="Arial" w:eastAsia="Times New Roman" w:hAnsi="Arial" w:cs="Arial"/>
        </w:rPr>
      </w:pPr>
      <w:r w:rsidRPr="00AB6D75">
        <w:rPr>
          <w:rFonts w:ascii="Arial" w:eastAsia="Times New Roman" w:hAnsi="Arial" w:cs="Arial"/>
        </w:rPr>
        <w:t>Understand how to take forward improvements</w:t>
      </w:r>
      <w:r w:rsidR="00033A5B" w:rsidRPr="00AB6D75">
        <w:rPr>
          <w:rFonts w:ascii="Arial" w:eastAsia="Times New Roman" w:hAnsi="Arial" w:cs="Arial"/>
        </w:rPr>
        <w:t xml:space="preserve"> to effect meaningful culture change, beyond the requirements of the Socio-economic Duty.</w:t>
      </w:r>
    </w:p>
    <w:p w14:paraId="44BFA608" w14:textId="77777777" w:rsidR="00DE6D5A" w:rsidRPr="00AB6D75" w:rsidRDefault="00DE6D5A" w:rsidP="00DE6D5A">
      <w:pPr>
        <w:pStyle w:val="ListParagraph"/>
        <w:numPr>
          <w:ilvl w:val="0"/>
          <w:numId w:val="9"/>
        </w:numPr>
        <w:spacing w:before="100" w:beforeAutospacing="1" w:after="100" w:afterAutospacing="1"/>
        <w:rPr>
          <w:rFonts w:ascii="Arial" w:eastAsia="Times New Roman" w:hAnsi="Arial" w:cs="Arial"/>
        </w:rPr>
      </w:pPr>
      <w:r w:rsidRPr="00AB6D75">
        <w:rPr>
          <w:rFonts w:ascii="Arial" w:eastAsia="Times New Roman" w:hAnsi="Arial" w:cs="Arial"/>
        </w:rPr>
        <w:t xml:space="preserve">Encourage reflection and the recording of progress. </w:t>
      </w:r>
    </w:p>
    <w:p w14:paraId="56BA0711" w14:textId="77777777" w:rsidR="003E28EF" w:rsidRPr="00AB6D75" w:rsidRDefault="003E28EF" w:rsidP="00917D4B">
      <w:pPr>
        <w:pStyle w:val="ListParagraph"/>
        <w:rPr>
          <w:rFonts w:ascii="Arial" w:hAnsi="Arial" w:cs="Arial"/>
          <w:color w:val="000000" w:themeColor="text1"/>
        </w:rPr>
      </w:pPr>
    </w:p>
    <w:p w14:paraId="39ADFD3B" w14:textId="38E5CA77" w:rsidR="003E28EF" w:rsidRPr="00AB6D75" w:rsidRDefault="003E28EF" w:rsidP="003E28EF">
      <w:pPr>
        <w:rPr>
          <w:rFonts w:ascii="Arial" w:hAnsi="Arial" w:cs="Arial"/>
          <w:b/>
          <w:color w:val="000000" w:themeColor="text1"/>
        </w:rPr>
      </w:pPr>
      <w:r w:rsidRPr="00AB6D75">
        <w:rPr>
          <w:rFonts w:ascii="Arial" w:hAnsi="Arial" w:cs="Arial"/>
          <w:b/>
          <w:color w:val="000000" w:themeColor="text1"/>
        </w:rPr>
        <w:t>Taking an integrated approach</w:t>
      </w:r>
    </w:p>
    <w:p w14:paraId="6E379F75" w14:textId="7B4F1AE5" w:rsidR="003E28EF" w:rsidRPr="00AB6D75" w:rsidRDefault="00600597" w:rsidP="0060135D">
      <w:pPr>
        <w:spacing w:before="100" w:beforeAutospacing="1" w:after="100" w:afterAutospacing="1"/>
        <w:rPr>
          <w:rFonts w:ascii="Arial" w:eastAsia="Times New Roman" w:hAnsi="Arial" w:cs="Arial"/>
        </w:rPr>
      </w:pPr>
      <w:hyperlink r:id="rId12" w:history="1">
        <w:r w:rsidR="003E28EF" w:rsidRPr="00AB6D75">
          <w:rPr>
            <w:rStyle w:val="Hyperlink"/>
            <w:rFonts w:ascii="Arial" w:eastAsia="Times New Roman" w:hAnsi="Arial" w:cs="Arial"/>
          </w:rPr>
          <w:t>A mapping guide</w:t>
        </w:r>
      </w:hyperlink>
      <w:r w:rsidR="00926F24" w:rsidRPr="00AB6D75">
        <w:rPr>
          <w:rFonts w:ascii="Arial" w:eastAsia="Times New Roman" w:hAnsi="Arial" w:cs="Arial"/>
        </w:rPr>
        <w:t xml:space="preserve"> to support public</w:t>
      </w:r>
      <w:r w:rsidR="003E28EF" w:rsidRPr="00AB6D75">
        <w:rPr>
          <w:rFonts w:ascii="Arial" w:eastAsia="Times New Roman" w:hAnsi="Arial" w:cs="Arial"/>
        </w:rPr>
        <w:t xml:space="preserve"> bodies in applying the Socio-economic Duty, the Well-being Duty and the Public Sector Equality Duty in an aligned way has been published and should be considered alongside this progress tr</w:t>
      </w:r>
      <w:r w:rsidR="009162ED" w:rsidRPr="00AB6D75">
        <w:rPr>
          <w:rFonts w:ascii="Arial" w:eastAsia="Times New Roman" w:hAnsi="Arial" w:cs="Arial"/>
        </w:rPr>
        <w:t xml:space="preserve">acker. The </w:t>
      </w:r>
      <w:r w:rsidR="00742E96" w:rsidRPr="00AB6D75">
        <w:rPr>
          <w:rFonts w:ascii="Arial" w:eastAsia="Times New Roman" w:hAnsi="Arial" w:cs="Arial"/>
        </w:rPr>
        <w:t xml:space="preserve">organisational </w:t>
      </w:r>
      <w:r w:rsidR="003E28EF" w:rsidRPr="00AB6D75">
        <w:rPr>
          <w:rFonts w:ascii="Arial" w:eastAsia="Times New Roman" w:hAnsi="Arial" w:cs="Arial"/>
        </w:rPr>
        <w:t>proces</w:t>
      </w:r>
      <w:r w:rsidR="00742E96" w:rsidRPr="00AB6D75">
        <w:rPr>
          <w:rFonts w:ascii="Arial" w:eastAsia="Times New Roman" w:hAnsi="Arial" w:cs="Arial"/>
        </w:rPr>
        <w:t>ses considered through this progr</w:t>
      </w:r>
      <w:r w:rsidR="003E28EF" w:rsidRPr="00AB6D75">
        <w:rPr>
          <w:rFonts w:ascii="Arial" w:eastAsia="Times New Roman" w:hAnsi="Arial" w:cs="Arial"/>
        </w:rPr>
        <w:t>ess tra</w:t>
      </w:r>
      <w:r w:rsidR="009A4C47" w:rsidRPr="00AB6D75">
        <w:rPr>
          <w:rFonts w:ascii="Arial" w:eastAsia="Times New Roman" w:hAnsi="Arial" w:cs="Arial"/>
        </w:rPr>
        <w:t>cker are consistent with those</w:t>
      </w:r>
      <w:r w:rsidR="003E28EF" w:rsidRPr="00AB6D75">
        <w:rPr>
          <w:rFonts w:ascii="Arial" w:eastAsia="Times New Roman" w:hAnsi="Arial" w:cs="Arial"/>
        </w:rPr>
        <w:t xml:space="preserve"> processe</w:t>
      </w:r>
      <w:r w:rsidR="00742E96" w:rsidRPr="00AB6D75">
        <w:rPr>
          <w:rFonts w:ascii="Arial" w:eastAsia="Times New Roman" w:hAnsi="Arial" w:cs="Arial"/>
        </w:rPr>
        <w:t>s</w:t>
      </w:r>
      <w:r w:rsidR="00F4456A" w:rsidRPr="00AB6D75">
        <w:rPr>
          <w:rFonts w:ascii="Arial" w:eastAsia="Times New Roman" w:hAnsi="Arial" w:cs="Arial"/>
        </w:rPr>
        <w:t xml:space="preserve"> </w:t>
      </w:r>
      <w:r w:rsidR="0060135D" w:rsidRPr="00AB6D75">
        <w:rPr>
          <w:rFonts w:ascii="Arial" w:eastAsia="Times New Roman" w:hAnsi="Arial" w:cs="Arial"/>
        </w:rPr>
        <w:t>associated with good compliance of the Socio-economic Duty</w:t>
      </w:r>
      <w:r w:rsidR="00F4456A" w:rsidRPr="00AB6D75">
        <w:rPr>
          <w:rFonts w:ascii="Arial" w:eastAsia="Times New Roman" w:hAnsi="Arial" w:cs="Arial"/>
        </w:rPr>
        <w:t xml:space="preserve"> contained within the mapping guide.</w:t>
      </w:r>
    </w:p>
    <w:p w14:paraId="0F7011A8" w14:textId="02595315" w:rsidR="0004440F" w:rsidRPr="00AB6D75" w:rsidRDefault="0004440F" w:rsidP="0060135D">
      <w:pPr>
        <w:pStyle w:val="ListParagraph"/>
        <w:numPr>
          <w:ilvl w:val="0"/>
          <w:numId w:val="27"/>
        </w:numPr>
        <w:spacing w:before="100" w:beforeAutospacing="1" w:after="100" w:afterAutospacing="1"/>
        <w:rPr>
          <w:rFonts w:ascii="Arial" w:eastAsia="Times New Roman" w:hAnsi="Arial" w:cs="Arial"/>
        </w:rPr>
      </w:pPr>
      <w:r w:rsidRPr="00AB6D75">
        <w:rPr>
          <w:rFonts w:ascii="Arial" w:eastAsia="Times New Roman" w:hAnsi="Arial" w:cs="Arial"/>
        </w:rPr>
        <w:t xml:space="preserve">Considering socio-economic disadvantage and reducing inequality in decision-making/policy development </w:t>
      </w:r>
    </w:p>
    <w:p w14:paraId="33932926" w14:textId="534DD0FD" w:rsidR="003E28EF" w:rsidRPr="00AB6D75" w:rsidRDefault="003E28EF" w:rsidP="0060135D">
      <w:pPr>
        <w:pStyle w:val="ListParagraph"/>
        <w:numPr>
          <w:ilvl w:val="0"/>
          <w:numId w:val="27"/>
        </w:numPr>
        <w:spacing w:before="100" w:beforeAutospacing="1" w:after="100" w:afterAutospacing="1"/>
        <w:rPr>
          <w:rFonts w:ascii="Arial" w:hAnsi="Arial" w:cs="Arial"/>
        </w:rPr>
      </w:pPr>
      <w:r w:rsidRPr="00AB6D75">
        <w:rPr>
          <w:rFonts w:ascii="Arial" w:hAnsi="Arial" w:cs="Arial"/>
        </w:rPr>
        <w:t>Accountability and Scrutiny</w:t>
      </w:r>
    </w:p>
    <w:p w14:paraId="2F9E52C0" w14:textId="4E8D5A4E" w:rsidR="003E28EF" w:rsidRPr="00AB6D75" w:rsidRDefault="003E28EF" w:rsidP="0060135D">
      <w:pPr>
        <w:pStyle w:val="ListParagraph"/>
        <w:numPr>
          <w:ilvl w:val="0"/>
          <w:numId w:val="27"/>
        </w:numPr>
        <w:spacing w:before="100" w:beforeAutospacing="1" w:after="100" w:afterAutospacing="1"/>
        <w:rPr>
          <w:rFonts w:ascii="Arial" w:eastAsia="Times New Roman" w:hAnsi="Arial" w:cs="Arial"/>
        </w:rPr>
      </w:pPr>
      <w:r w:rsidRPr="00AB6D75">
        <w:rPr>
          <w:rFonts w:ascii="Arial" w:eastAsia="Times New Roman" w:hAnsi="Arial" w:cs="Arial"/>
        </w:rPr>
        <w:t>Tracking and reporting on impact</w:t>
      </w:r>
    </w:p>
    <w:p w14:paraId="3E98E207" w14:textId="77777777" w:rsidR="0004440F" w:rsidRPr="00AB6D75" w:rsidRDefault="0004440F" w:rsidP="0060135D">
      <w:pPr>
        <w:pStyle w:val="ListParagraph"/>
        <w:numPr>
          <w:ilvl w:val="0"/>
          <w:numId w:val="27"/>
        </w:numPr>
        <w:spacing w:before="100" w:beforeAutospacing="1" w:after="100" w:afterAutospacing="1"/>
        <w:rPr>
          <w:rFonts w:ascii="Arial" w:eastAsia="Times New Roman" w:hAnsi="Arial" w:cs="Arial"/>
        </w:rPr>
      </w:pPr>
      <w:r w:rsidRPr="00AB6D75">
        <w:rPr>
          <w:rFonts w:ascii="Arial" w:eastAsia="Times New Roman" w:hAnsi="Arial" w:cs="Arial"/>
        </w:rPr>
        <w:t>Engagement, involvement, and consultation</w:t>
      </w:r>
    </w:p>
    <w:p w14:paraId="396EB09B" w14:textId="0B680213" w:rsidR="00D044EE" w:rsidRPr="00AB6D75" w:rsidRDefault="00DE6D5A" w:rsidP="00DE6D5A">
      <w:pPr>
        <w:spacing w:before="100" w:beforeAutospacing="1" w:after="100" w:afterAutospacing="1"/>
        <w:rPr>
          <w:rFonts w:ascii="Arial" w:eastAsia="Times New Roman" w:hAnsi="Arial" w:cs="Arial"/>
          <w:color w:val="000000" w:themeColor="text1"/>
        </w:rPr>
      </w:pPr>
      <w:r w:rsidRPr="00AB6D75">
        <w:rPr>
          <w:rFonts w:ascii="Arial" w:eastAsia="Times New Roman" w:hAnsi="Arial" w:cs="Arial"/>
          <w:b/>
        </w:rPr>
        <w:t>Levels of progress</w:t>
      </w:r>
      <w:r w:rsidR="00F4456A" w:rsidRPr="00AB6D75">
        <w:rPr>
          <w:rFonts w:ascii="Arial" w:eastAsia="Times New Roman" w:hAnsi="Arial" w:cs="Arial"/>
          <w:b/>
        </w:rPr>
        <w:t xml:space="preserve"> - </w:t>
      </w:r>
      <w:r w:rsidR="0035451F" w:rsidRPr="00AB6D75">
        <w:rPr>
          <w:rFonts w:ascii="Arial" w:eastAsia="Times New Roman" w:hAnsi="Arial" w:cs="Arial"/>
          <w:color w:val="000000" w:themeColor="text1"/>
        </w:rPr>
        <w:t>The progress tracker describes four levels of progress</w:t>
      </w:r>
      <w:r w:rsidR="00893E3B" w:rsidRPr="00AB6D75">
        <w:rPr>
          <w:rFonts w:ascii="Arial" w:eastAsia="Times New Roman" w:hAnsi="Arial" w:cs="Arial"/>
          <w:color w:val="000000" w:themeColor="text1"/>
        </w:rPr>
        <w:t>.</w:t>
      </w:r>
    </w:p>
    <w:p w14:paraId="63F0D6A0" w14:textId="6932C836" w:rsidR="005C47C9" w:rsidRPr="00AB6D75" w:rsidRDefault="005C47C9" w:rsidP="005C47C9">
      <w:pPr>
        <w:pStyle w:val="ListParagraph"/>
        <w:numPr>
          <w:ilvl w:val="0"/>
          <w:numId w:val="13"/>
        </w:numPr>
        <w:spacing w:before="100" w:beforeAutospacing="1" w:after="100" w:afterAutospacing="1"/>
        <w:rPr>
          <w:rFonts w:ascii="Arial" w:eastAsia="Times New Roman" w:hAnsi="Arial" w:cs="Arial"/>
          <w:color w:val="000000" w:themeColor="text1"/>
        </w:rPr>
      </w:pPr>
      <w:r w:rsidRPr="00AB6D75">
        <w:rPr>
          <w:rFonts w:ascii="Arial" w:eastAsia="Times New Roman" w:hAnsi="Arial" w:cs="Arial"/>
          <w:b/>
          <w:color w:val="000000" w:themeColor="text1"/>
        </w:rPr>
        <w:t>Getting started</w:t>
      </w:r>
      <w:r w:rsidR="00CF5683" w:rsidRPr="00AB6D75">
        <w:rPr>
          <w:rFonts w:ascii="Arial" w:eastAsia="Times New Roman" w:hAnsi="Arial" w:cs="Arial"/>
          <w:b/>
          <w:color w:val="000000" w:themeColor="text1"/>
        </w:rPr>
        <w:t xml:space="preserve">: </w:t>
      </w:r>
      <w:r w:rsidR="00CF5683" w:rsidRPr="00AB6D75">
        <w:rPr>
          <w:rFonts w:ascii="Arial" w:eastAsia="Times New Roman" w:hAnsi="Arial" w:cs="Arial"/>
          <w:color w:val="000000" w:themeColor="text1"/>
        </w:rPr>
        <w:t xml:space="preserve">gaining and demonstrating commitment </w:t>
      </w:r>
    </w:p>
    <w:p w14:paraId="4A70FC2D" w14:textId="302440AF" w:rsidR="00624E17" w:rsidRPr="00AB6D75" w:rsidRDefault="0068061E" w:rsidP="0035451F">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rPr>
        <w:t>Early progress</w:t>
      </w:r>
      <w:r w:rsidR="00893E3B" w:rsidRPr="00AB6D75">
        <w:rPr>
          <w:rFonts w:ascii="Arial" w:eastAsia="Times New Roman" w:hAnsi="Arial" w:cs="Arial"/>
          <w:b/>
          <w:bCs/>
        </w:rPr>
        <w:t>:</w:t>
      </w:r>
      <w:r w:rsidRPr="00AB6D75">
        <w:rPr>
          <w:rFonts w:ascii="Arial" w:eastAsia="Times New Roman" w:hAnsi="Arial" w:cs="Arial"/>
          <w:b/>
          <w:bCs/>
        </w:rPr>
        <w:t xml:space="preserve"> </w:t>
      </w:r>
      <w:r w:rsidR="62082B7F" w:rsidRPr="00AB6D75">
        <w:rPr>
          <w:rFonts w:ascii="Arial" w:eastAsia="Times New Roman" w:hAnsi="Arial" w:cs="Arial"/>
        </w:rPr>
        <w:t>should be quick and</w:t>
      </w:r>
      <w:r w:rsidR="00742E96" w:rsidRPr="00AB6D75">
        <w:rPr>
          <w:rFonts w:ascii="Arial" w:eastAsia="Times New Roman" w:hAnsi="Arial" w:cs="Arial"/>
        </w:rPr>
        <w:t xml:space="preserve"> easy to implement. This reflects </w:t>
      </w:r>
      <w:r w:rsidRPr="00AB6D75">
        <w:rPr>
          <w:rFonts w:ascii="Arial" w:eastAsia="Times New Roman" w:hAnsi="Arial" w:cs="Arial"/>
        </w:rPr>
        <w:t xml:space="preserve">simple changes </w:t>
      </w:r>
      <w:r w:rsidR="00DE6D5A" w:rsidRPr="00AB6D75">
        <w:rPr>
          <w:rFonts w:ascii="Arial" w:eastAsia="Times New Roman" w:hAnsi="Arial" w:cs="Arial"/>
        </w:rPr>
        <w:t>that</w:t>
      </w:r>
      <w:r w:rsidR="00742E96" w:rsidRPr="00AB6D75">
        <w:rPr>
          <w:rFonts w:ascii="Arial" w:eastAsia="Times New Roman" w:hAnsi="Arial" w:cs="Arial"/>
        </w:rPr>
        <w:t xml:space="preserve"> </w:t>
      </w:r>
      <w:r w:rsidR="62082B7F" w:rsidRPr="00AB6D75">
        <w:rPr>
          <w:rFonts w:ascii="Arial" w:eastAsia="Times New Roman" w:hAnsi="Arial" w:cs="Arial"/>
        </w:rPr>
        <w:t xml:space="preserve">have a low risk of failure. </w:t>
      </w:r>
    </w:p>
    <w:p w14:paraId="6B872216" w14:textId="79D252BC" w:rsidR="00ED0C38" w:rsidRPr="00AB6D75" w:rsidRDefault="005C47C9" w:rsidP="00DE6D5A">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rPr>
        <w:t>Firm progress</w:t>
      </w:r>
      <w:r w:rsidR="00893E3B" w:rsidRPr="00AB6D75">
        <w:rPr>
          <w:rFonts w:ascii="Arial" w:eastAsia="Times New Roman" w:hAnsi="Arial" w:cs="Arial"/>
          <w:b/>
          <w:bCs/>
        </w:rPr>
        <w:t>:</w:t>
      </w:r>
      <w:r w:rsidRPr="00AB6D75">
        <w:rPr>
          <w:rFonts w:ascii="Arial" w:eastAsia="Times New Roman" w:hAnsi="Arial" w:cs="Arial"/>
          <w:b/>
          <w:bCs/>
        </w:rPr>
        <w:t xml:space="preserve"> </w:t>
      </w:r>
      <w:r w:rsidR="52497AFC" w:rsidRPr="00AB6D75">
        <w:rPr>
          <w:rFonts w:ascii="Arial" w:eastAsia="Times New Roman" w:hAnsi="Arial" w:cs="Arial"/>
        </w:rPr>
        <w:t xml:space="preserve">involves stepping out of a ‘business as usual’ </w:t>
      </w:r>
      <w:r w:rsidR="00CF5683" w:rsidRPr="00AB6D75">
        <w:rPr>
          <w:rFonts w:ascii="Arial" w:eastAsia="Times New Roman" w:hAnsi="Arial" w:cs="Arial"/>
        </w:rPr>
        <w:t>mind-set</w:t>
      </w:r>
      <w:r w:rsidR="52497AFC" w:rsidRPr="00AB6D75">
        <w:rPr>
          <w:rFonts w:ascii="Arial" w:eastAsia="Times New Roman" w:hAnsi="Arial" w:cs="Arial"/>
        </w:rPr>
        <w:t xml:space="preserve"> and </w:t>
      </w:r>
      <w:r w:rsidR="0065328C" w:rsidRPr="00AB6D75">
        <w:rPr>
          <w:rFonts w:ascii="Arial" w:eastAsia="Times New Roman" w:hAnsi="Arial" w:cs="Arial"/>
        </w:rPr>
        <w:t>acting</w:t>
      </w:r>
      <w:r w:rsidR="52497AFC" w:rsidRPr="00AB6D75">
        <w:rPr>
          <w:rFonts w:ascii="Arial" w:eastAsia="Times New Roman" w:hAnsi="Arial" w:cs="Arial"/>
        </w:rPr>
        <w:t xml:space="preserve"> to change how things are currently done. Signalling early progress to wider change, this mig</w:t>
      </w:r>
      <w:r w:rsidR="00742E96" w:rsidRPr="00AB6D75">
        <w:rPr>
          <w:rFonts w:ascii="Arial" w:eastAsia="Times New Roman" w:hAnsi="Arial" w:cs="Arial"/>
        </w:rPr>
        <w:t xml:space="preserve">ht involve a change in </w:t>
      </w:r>
      <w:r w:rsidR="00CF5683" w:rsidRPr="00AB6D75">
        <w:rPr>
          <w:rFonts w:ascii="Arial" w:eastAsia="Times New Roman" w:hAnsi="Arial" w:cs="Arial"/>
        </w:rPr>
        <w:t>process and ways of working.</w:t>
      </w:r>
    </w:p>
    <w:p w14:paraId="702CD2F9" w14:textId="14BCFC59" w:rsidR="009C121C" w:rsidRPr="00AB6D75" w:rsidRDefault="005C47C9" w:rsidP="00330077">
      <w:pPr>
        <w:pStyle w:val="ListParagraph"/>
        <w:numPr>
          <w:ilvl w:val="0"/>
          <w:numId w:val="3"/>
        </w:numPr>
        <w:spacing w:before="100" w:beforeAutospacing="1" w:after="100" w:afterAutospacing="1"/>
        <w:rPr>
          <w:rFonts w:ascii="Arial" w:hAnsi="Arial" w:cs="Arial"/>
        </w:rPr>
      </w:pPr>
      <w:r w:rsidRPr="00AB6D75">
        <w:rPr>
          <w:rFonts w:ascii="Arial" w:eastAsia="Times New Roman" w:hAnsi="Arial" w:cs="Arial"/>
          <w:b/>
          <w:bCs/>
        </w:rPr>
        <w:t>Advanced progress</w:t>
      </w:r>
      <w:r w:rsidR="00893E3B" w:rsidRPr="00AB6D75">
        <w:rPr>
          <w:rFonts w:ascii="Arial" w:eastAsia="Times New Roman" w:hAnsi="Arial" w:cs="Arial"/>
          <w:b/>
          <w:bCs/>
        </w:rPr>
        <w:t>:</w:t>
      </w:r>
      <w:r w:rsidRPr="00AB6D75">
        <w:rPr>
          <w:rFonts w:ascii="Arial" w:eastAsia="Times New Roman" w:hAnsi="Arial" w:cs="Arial"/>
          <w:b/>
          <w:bCs/>
        </w:rPr>
        <w:t xml:space="preserve"> </w:t>
      </w:r>
      <w:r w:rsidRPr="00AB6D75">
        <w:rPr>
          <w:rFonts w:ascii="Arial" w:eastAsia="Times New Roman" w:hAnsi="Arial" w:cs="Arial"/>
        </w:rPr>
        <w:t>this</w:t>
      </w:r>
      <w:r w:rsidR="0367CCF4" w:rsidRPr="00AB6D75">
        <w:rPr>
          <w:rFonts w:ascii="Arial" w:eastAsia="Times New Roman" w:hAnsi="Arial" w:cs="Arial"/>
        </w:rPr>
        <w:t xml:space="preserve"> is a systemic, transformational change to how things have always been done and will require reallocating resources, time to put the changes in place and collaboration with </w:t>
      </w:r>
      <w:r w:rsidR="0065328C" w:rsidRPr="00AB6D75">
        <w:rPr>
          <w:rFonts w:ascii="Arial" w:eastAsia="Times New Roman" w:hAnsi="Arial" w:cs="Arial"/>
        </w:rPr>
        <w:t xml:space="preserve">other </w:t>
      </w:r>
      <w:r w:rsidR="0367CCF4" w:rsidRPr="00AB6D75">
        <w:rPr>
          <w:rFonts w:ascii="Arial" w:eastAsia="Times New Roman" w:hAnsi="Arial" w:cs="Arial"/>
        </w:rPr>
        <w:t xml:space="preserve">bodies. Actions are </w:t>
      </w:r>
      <w:r w:rsidR="0367CCF4" w:rsidRPr="00AB6D75">
        <w:rPr>
          <w:rFonts w:ascii="Arial" w:eastAsia="Calibri" w:hAnsi="Arial" w:cs="Arial"/>
        </w:rPr>
        <w:t xml:space="preserve">innovative, inspirational and collaborative, putting the </w:t>
      </w:r>
      <w:r w:rsidR="00C030E8" w:rsidRPr="00AB6D75">
        <w:rPr>
          <w:rFonts w:ascii="Arial" w:eastAsia="Calibri" w:hAnsi="Arial" w:cs="Arial"/>
        </w:rPr>
        <w:t>Duty i</w:t>
      </w:r>
      <w:r w:rsidR="00DE6D5A" w:rsidRPr="00AB6D75">
        <w:rPr>
          <w:rFonts w:ascii="Arial" w:eastAsia="Calibri" w:hAnsi="Arial" w:cs="Arial"/>
        </w:rPr>
        <w:t xml:space="preserve">nto practice across all </w:t>
      </w:r>
      <w:r w:rsidR="0367CCF4" w:rsidRPr="00AB6D75">
        <w:rPr>
          <w:rFonts w:ascii="Arial" w:eastAsia="Calibri" w:hAnsi="Arial" w:cs="Arial"/>
        </w:rPr>
        <w:t>portfolio</w:t>
      </w:r>
      <w:r w:rsidR="00DE6D5A" w:rsidRPr="00AB6D75">
        <w:rPr>
          <w:rFonts w:ascii="Arial" w:eastAsia="Calibri" w:hAnsi="Arial" w:cs="Arial"/>
        </w:rPr>
        <w:t>s, t</w:t>
      </w:r>
      <w:r w:rsidR="0367CCF4" w:rsidRPr="00AB6D75">
        <w:rPr>
          <w:rFonts w:ascii="Arial" w:eastAsia="Calibri" w:hAnsi="Arial" w:cs="Arial"/>
        </w:rPr>
        <w:t>his way of working becom</w:t>
      </w:r>
      <w:r w:rsidR="00742E96" w:rsidRPr="00AB6D75">
        <w:rPr>
          <w:rFonts w:ascii="Arial" w:eastAsia="Calibri" w:hAnsi="Arial" w:cs="Arial"/>
        </w:rPr>
        <w:t>es embedded in the organisation.</w:t>
      </w:r>
    </w:p>
    <w:tbl>
      <w:tblPr>
        <w:tblStyle w:val="TableGrid"/>
        <w:tblpPr w:leftFromText="180" w:rightFromText="180" w:vertAnchor="text" w:horzAnchor="margin" w:tblpX="-714" w:tblpY="-1264"/>
        <w:tblW w:w="15446" w:type="dxa"/>
        <w:tblLook w:val="04A0" w:firstRow="1" w:lastRow="0" w:firstColumn="1" w:lastColumn="0" w:noHBand="0" w:noVBand="1"/>
        <w:tblCaption w:val="Considering socio-economic disadvantage when making important decsions"/>
      </w:tblPr>
      <w:tblGrid>
        <w:gridCol w:w="3204"/>
        <w:gridCol w:w="2364"/>
        <w:gridCol w:w="3737"/>
        <w:gridCol w:w="2795"/>
        <w:gridCol w:w="3346"/>
      </w:tblGrid>
      <w:tr w:rsidR="00AB6D75" w:rsidRPr="00AB6D75" w14:paraId="61654ACA" w14:textId="77777777" w:rsidTr="005F08AC">
        <w:trPr>
          <w:trHeight w:val="1408"/>
          <w:tblHeader/>
        </w:trPr>
        <w:tc>
          <w:tcPr>
            <w:tcW w:w="3230" w:type="dxa"/>
            <w:tcBorders>
              <w:bottom w:val="nil"/>
            </w:tcBorders>
            <w:shd w:val="clear" w:color="auto" w:fill="7030A0"/>
            <w:vAlign w:val="center"/>
          </w:tcPr>
          <w:p w14:paraId="245A8F5F" w14:textId="13BC211B" w:rsidR="00033A5B" w:rsidRPr="00AB6D75" w:rsidRDefault="00033A5B" w:rsidP="00AB6D75">
            <w:pPr>
              <w:pStyle w:val="Heading1"/>
              <w:rPr>
                <w:rFonts w:ascii="Arial" w:eastAsia="Times New Roman" w:hAnsi="Arial" w:cs="Arial"/>
                <w:b/>
                <w:color w:val="FFFFFF" w:themeColor="background1"/>
              </w:rPr>
            </w:pPr>
            <w:r w:rsidRPr="00AB6D75">
              <w:rPr>
                <w:rFonts w:ascii="Arial" w:eastAsia="Times New Roman" w:hAnsi="Arial" w:cs="Arial"/>
                <w:b/>
                <w:color w:val="FFFFFF" w:themeColor="background1"/>
              </w:rPr>
              <w:t xml:space="preserve">Organisational process 1: </w:t>
            </w:r>
          </w:p>
          <w:p w14:paraId="2962C31F" w14:textId="4BEB7E56" w:rsidR="000E3028" w:rsidRPr="00AB6D75" w:rsidRDefault="000E3028" w:rsidP="00AB6D75">
            <w:pPr>
              <w:pStyle w:val="Heading1"/>
              <w:rPr>
                <w:rFonts w:ascii="Arial" w:eastAsia="Times New Roman" w:hAnsi="Arial" w:cs="Arial"/>
                <w:b/>
                <w:color w:val="FFFFFF" w:themeColor="background1"/>
              </w:rPr>
            </w:pPr>
            <w:r w:rsidRPr="00AB6D75">
              <w:rPr>
                <w:rFonts w:ascii="Arial" w:eastAsia="Times New Roman" w:hAnsi="Arial" w:cs="Arial"/>
                <w:b/>
                <w:color w:val="FFFFFF" w:themeColor="background1"/>
              </w:rPr>
              <w:t>Considering socio-economic disadvantage and reducing inequality in decision-making</w:t>
            </w:r>
            <w:r w:rsidR="007E5410" w:rsidRPr="00AB6D75">
              <w:rPr>
                <w:rFonts w:ascii="Arial" w:eastAsia="Times New Roman" w:hAnsi="Arial" w:cs="Arial"/>
                <w:b/>
                <w:color w:val="FFFFFF" w:themeColor="background1"/>
              </w:rPr>
              <w:t xml:space="preserve">/policy development </w:t>
            </w:r>
          </w:p>
          <w:p w14:paraId="48C14043" w14:textId="77777777" w:rsidR="005C47C9" w:rsidRPr="00AB6D75" w:rsidRDefault="005C47C9" w:rsidP="00AB6D75">
            <w:pPr>
              <w:pStyle w:val="Heading1"/>
              <w:rPr>
                <w:rFonts w:ascii="Arial" w:hAnsi="Arial" w:cs="Arial"/>
                <w:bCs/>
                <w:color w:val="FFFFFF" w:themeColor="background1"/>
              </w:rPr>
            </w:pPr>
          </w:p>
        </w:tc>
        <w:tc>
          <w:tcPr>
            <w:tcW w:w="2233" w:type="dxa"/>
            <w:tcBorders>
              <w:bottom w:val="nil"/>
            </w:tcBorders>
            <w:shd w:val="clear" w:color="auto" w:fill="7030A0"/>
            <w:vAlign w:val="center"/>
          </w:tcPr>
          <w:p w14:paraId="38CB3351" w14:textId="77777777" w:rsidR="005C47C9" w:rsidRPr="00AB6D75" w:rsidRDefault="005C47C9" w:rsidP="00AB6D75">
            <w:pPr>
              <w:pStyle w:val="Heading1"/>
              <w:rPr>
                <w:rFonts w:ascii="Arial" w:hAnsi="Arial" w:cs="Arial"/>
                <w:bCs/>
                <w:color w:val="FFFFFF" w:themeColor="background1"/>
              </w:rPr>
            </w:pPr>
            <w:r w:rsidRPr="00AB6D75">
              <w:rPr>
                <w:rFonts w:ascii="Arial" w:hAnsi="Arial" w:cs="Arial"/>
                <w:bCs/>
                <w:iCs/>
                <w:color w:val="FFFFFF" w:themeColor="background1"/>
              </w:rPr>
              <w:t>Getting started</w:t>
            </w:r>
          </w:p>
        </w:tc>
        <w:tc>
          <w:tcPr>
            <w:tcW w:w="3746" w:type="dxa"/>
            <w:tcBorders>
              <w:bottom w:val="nil"/>
            </w:tcBorders>
            <w:shd w:val="clear" w:color="auto" w:fill="7030A0"/>
            <w:vAlign w:val="center"/>
          </w:tcPr>
          <w:p w14:paraId="667C7042" w14:textId="77777777" w:rsidR="005C47C9" w:rsidRPr="00AB6D75" w:rsidRDefault="005C47C9" w:rsidP="00AB6D75">
            <w:pPr>
              <w:pStyle w:val="Heading1"/>
              <w:rPr>
                <w:rFonts w:ascii="Arial" w:hAnsi="Arial" w:cs="Arial"/>
                <w:bCs/>
                <w:iCs/>
                <w:color w:val="FFFFFF" w:themeColor="background1"/>
              </w:rPr>
            </w:pPr>
            <w:r w:rsidRPr="00AB6D75">
              <w:rPr>
                <w:rFonts w:ascii="Arial" w:hAnsi="Arial" w:cs="Arial"/>
                <w:bCs/>
                <w:iCs/>
                <w:color w:val="FFFFFF" w:themeColor="background1"/>
              </w:rPr>
              <w:t>Early progress</w:t>
            </w:r>
          </w:p>
        </w:tc>
        <w:tc>
          <w:tcPr>
            <w:tcW w:w="2835" w:type="dxa"/>
            <w:tcBorders>
              <w:bottom w:val="nil"/>
            </w:tcBorders>
            <w:shd w:val="clear" w:color="auto" w:fill="7030A0"/>
            <w:vAlign w:val="center"/>
          </w:tcPr>
          <w:p w14:paraId="4EEB78E8" w14:textId="77777777" w:rsidR="005C47C9" w:rsidRPr="00AB6D75" w:rsidRDefault="005C47C9" w:rsidP="00AB6D75">
            <w:pPr>
              <w:pStyle w:val="Heading1"/>
              <w:rPr>
                <w:rFonts w:ascii="Arial" w:hAnsi="Arial" w:cs="Arial"/>
                <w:bCs/>
                <w:iCs/>
                <w:color w:val="FFFFFF" w:themeColor="background1"/>
              </w:rPr>
            </w:pPr>
            <w:r w:rsidRPr="00AB6D75">
              <w:rPr>
                <w:rFonts w:ascii="Arial" w:hAnsi="Arial" w:cs="Arial"/>
                <w:bCs/>
                <w:color w:val="FFFFFF" w:themeColor="background1"/>
              </w:rPr>
              <w:t>Fi</w:t>
            </w:r>
            <w:r w:rsidRPr="00AB6D75">
              <w:rPr>
                <w:rFonts w:ascii="Arial" w:hAnsi="Arial" w:cs="Arial"/>
                <w:bCs/>
                <w:iCs/>
                <w:color w:val="FFFFFF" w:themeColor="background1"/>
              </w:rPr>
              <w:t>rm progress</w:t>
            </w:r>
          </w:p>
        </w:tc>
        <w:tc>
          <w:tcPr>
            <w:tcW w:w="3402" w:type="dxa"/>
            <w:tcBorders>
              <w:bottom w:val="nil"/>
            </w:tcBorders>
            <w:shd w:val="clear" w:color="auto" w:fill="7030A0"/>
            <w:vAlign w:val="center"/>
          </w:tcPr>
          <w:p w14:paraId="3A8A2975" w14:textId="77777777" w:rsidR="005C47C9" w:rsidRPr="00AB6D75" w:rsidRDefault="005C47C9" w:rsidP="00AB6D75">
            <w:pPr>
              <w:pStyle w:val="Heading1"/>
              <w:rPr>
                <w:rFonts w:ascii="Arial" w:hAnsi="Arial" w:cs="Arial"/>
                <w:bCs/>
                <w:iCs/>
                <w:color w:val="FFFFFF" w:themeColor="background1"/>
              </w:rPr>
            </w:pPr>
            <w:r w:rsidRPr="00AB6D75">
              <w:rPr>
                <w:rFonts w:ascii="Arial" w:hAnsi="Arial" w:cs="Arial"/>
                <w:bCs/>
                <w:iCs/>
                <w:color w:val="FFFFFF" w:themeColor="background1"/>
              </w:rPr>
              <w:t>Advanced progress</w:t>
            </w:r>
          </w:p>
        </w:tc>
      </w:tr>
      <w:tr w:rsidR="00330077" w:rsidRPr="00CF3C30" w14:paraId="472106F2" w14:textId="77777777" w:rsidTr="00AB6D75">
        <w:trPr>
          <w:trHeight w:val="89"/>
        </w:trPr>
        <w:tc>
          <w:tcPr>
            <w:tcW w:w="3230" w:type="dxa"/>
            <w:tcBorders>
              <w:top w:val="nil"/>
              <w:bottom w:val="single" w:sz="4" w:space="0" w:color="auto"/>
            </w:tcBorders>
            <w:shd w:val="clear" w:color="auto" w:fill="C9C9C9" w:themeFill="accent3" w:themeFillTint="99"/>
            <w:vAlign w:val="center"/>
          </w:tcPr>
          <w:p w14:paraId="05F306B2" w14:textId="77777777" w:rsidR="005C47C9" w:rsidRPr="00330077" w:rsidRDefault="005C47C9" w:rsidP="00330077">
            <w:pPr>
              <w:pStyle w:val="NormalWeb"/>
              <w:rPr>
                <w:rFonts w:ascii="Calibri" w:hAnsi="Calibri" w:cs="Calibri"/>
                <w:b/>
                <w:bCs/>
                <w:sz w:val="22"/>
                <w:szCs w:val="22"/>
              </w:rPr>
            </w:pPr>
          </w:p>
        </w:tc>
        <w:tc>
          <w:tcPr>
            <w:tcW w:w="2233" w:type="dxa"/>
            <w:tcBorders>
              <w:top w:val="nil"/>
            </w:tcBorders>
            <w:shd w:val="clear" w:color="auto" w:fill="C9C9C9" w:themeFill="accent3" w:themeFillTint="99"/>
            <w:vAlign w:val="center"/>
          </w:tcPr>
          <w:p w14:paraId="57548FF0" w14:textId="77777777" w:rsidR="005C47C9" w:rsidRPr="00AB6D75" w:rsidRDefault="005C47C9" w:rsidP="00330077">
            <w:pPr>
              <w:pStyle w:val="NormalWeb"/>
              <w:jc w:val="center"/>
              <w:rPr>
                <w:rFonts w:ascii="Calibri" w:hAnsi="Calibri" w:cs="Calibri"/>
                <w:b/>
                <w:bCs/>
                <w:sz w:val="32"/>
                <w:szCs w:val="32"/>
              </w:rPr>
            </w:pPr>
            <w:r w:rsidRPr="00AB6D75">
              <w:rPr>
                <w:rFonts w:ascii="Calibri" w:hAnsi="Calibri" w:cs="Calibri"/>
                <w:b/>
                <w:bCs/>
                <w:sz w:val="32"/>
                <w:szCs w:val="32"/>
              </w:rPr>
              <w:t>1</w:t>
            </w:r>
          </w:p>
        </w:tc>
        <w:tc>
          <w:tcPr>
            <w:tcW w:w="3746" w:type="dxa"/>
            <w:tcBorders>
              <w:top w:val="nil"/>
            </w:tcBorders>
            <w:shd w:val="clear" w:color="auto" w:fill="C9C9C9" w:themeFill="accent3" w:themeFillTint="99"/>
            <w:vAlign w:val="center"/>
          </w:tcPr>
          <w:p w14:paraId="6222C9A5" w14:textId="77777777" w:rsidR="005C47C9" w:rsidRPr="00AB6D75" w:rsidRDefault="005C47C9" w:rsidP="00330077">
            <w:pPr>
              <w:pStyle w:val="NormalWeb"/>
              <w:jc w:val="center"/>
              <w:rPr>
                <w:rFonts w:ascii="Calibri" w:hAnsi="Calibri" w:cs="Calibri"/>
                <w:b/>
                <w:bCs/>
                <w:sz w:val="32"/>
                <w:szCs w:val="32"/>
              </w:rPr>
            </w:pPr>
            <w:r w:rsidRPr="00AB6D75">
              <w:rPr>
                <w:rFonts w:ascii="Calibri" w:hAnsi="Calibri" w:cs="Calibri"/>
                <w:b/>
                <w:bCs/>
                <w:sz w:val="32"/>
                <w:szCs w:val="32"/>
              </w:rPr>
              <w:t>2</w:t>
            </w:r>
          </w:p>
        </w:tc>
        <w:tc>
          <w:tcPr>
            <w:tcW w:w="2835" w:type="dxa"/>
            <w:tcBorders>
              <w:top w:val="nil"/>
            </w:tcBorders>
            <w:shd w:val="clear" w:color="auto" w:fill="C9C9C9" w:themeFill="accent3" w:themeFillTint="99"/>
            <w:vAlign w:val="center"/>
          </w:tcPr>
          <w:p w14:paraId="6B9EA883" w14:textId="77777777" w:rsidR="005C47C9" w:rsidRPr="00AB6D75" w:rsidRDefault="005C47C9" w:rsidP="00330077">
            <w:pPr>
              <w:pStyle w:val="NormalWeb"/>
              <w:jc w:val="center"/>
              <w:rPr>
                <w:rFonts w:ascii="Calibri" w:hAnsi="Calibri" w:cs="Calibri"/>
                <w:b/>
                <w:bCs/>
                <w:sz w:val="32"/>
                <w:szCs w:val="32"/>
              </w:rPr>
            </w:pPr>
            <w:r w:rsidRPr="00AB6D75">
              <w:rPr>
                <w:rFonts w:ascii="Calibri" w:hAnsi="Calibri" w:cs="Calibri"/>
                <w:b/>
                <w:bCs/>
                <w:sz w:val="32"/>
                <w:szCs w:val="32"/>
              </w:rPr>
              <w:t>3</w:t>
            </w:r>
          </w:p>
        </w:tc>
        <w:tc>
          <w:tcPr>
            <w:tcW w:w="3402" w:type="dxa"/>
            <w:tcBorders>
              <w:top w:val="nil"/>
            </w:tcBorders>
            <w:shd w:val="clear" w:color="auto" w:fill="C9C9C9" w:themeFill="accent3" w:themeFillTint="99"/>
            <w:vAlign w:val="center"/>
          </w:tcPr>
          <w:p w14:paraId="40B3A72C" w14:textId="77777777" w:rsidR="005C47C9" w:rsidRPr="00AB6D75" w:rsidRDefault="005C47C9" w:rsidP="00330077">
            <w:pPr>
              <w:pStyle w:val="NormalWeb"/>
              <w:jc w:val="center"/>
              <w:rPr>
                <w:rFonts w:ascii="Calibri" w:hAnsi="Calibri" w:cs="Calibri"/>
                <w:b/>
                <w:bCs/>
                <w:sz w:val="32"/>
                <w:szCs w:val="32"/>
              </w:rPr>
            </w:pPr>
            <w:r w:rsidRPr="00AB6D75">
              <w:rPr>
                <w:rFonts w:ascii="Calibri" w:hAnsi="Calibri" w:cs="Calibri"/>
                <w:b/>
                <w:bCs/>
                <w:sz w:val="32"/>
                <w:szCs w:val="32"/>
              </w:rPr>
              <w:t>4</w:t>
            </w:r>
          </w:p>
        </w:tc>
      </w:tr>
      <w:tr w:rsidR="00330077" w:rsidRPr="00926F24" w14:paraId="6C71D40E" w14:textId="77777777" w:rsidTr="00AB6D75">
        <w:trPr>
          <w:trHeight w:val="1015"/>
        </w:trPr>
        <w:tc>
          <w:tcPr>
            <w:tcW w:w="3230" w:type="dxa"/>
            <w:shd w:val="clear" w:color="auto" w:fill="C9C9C9" w:themeFill="accent3" w:themeFillTint="99"/>
          </w:tcPr>
          <w:p w14:paraId="5EF5A494" w14:textId="5C15A2BE" w:rsidR="000E3028" w:rsidRPr="00AB6D75" w:rsidRDefault="000E3028" w:rsidP="00330077">
            <w:pPr>
              <w:spacing w:before="100" w:beforeAutospacing="1" w:after="100" w:afterAutospacing="1"/>
              <w:rPr>
                <w:rFonts w:ascii="Arial" w:eastAsia="Times New Roman" w:hAnsi="Arial" w:cs="Arial"/>
              </w:rPr>
            </w:pPr>
            <w:r w:rsidRPr="00AB6D75">
              <w:rPr>
                <w:rFonts w:ascii="Arial" w:hAnsi="Arial" w:cs="Arial"/>
              </w:rPr>
              <w:t>When making strategic decisions, such as deciding priorities and setting objectives, consider how decisions can reduce inequalities of outcome associated with socio-economic disadvantage. Relevant public bodies are encouraged to be able to evidence a clear audit trail for all decisions made under the Duty.</w:t>
            </w:r>
          </w:p>
          <w:p w14:paraId="79382D77" w14:textId="2CAD6C69" w:rsidR="005C47C9" w:rsidRPr="00AB6D75" w:rsidRDefault="005C47C9" w:rsidP="00330077">
            <w:pPr>
              <w:spacing w:before="100" w:beforeAutospacing="1" w:after="100" w:afterAutospacing="1"/>
              <w:rPr>
                <w:rFonts w:ascii="Arial" w:hAnsi="Arial" w:cs="Arial"/>
                <w:b/>
                <w:bCs/>
                <w:i/>
                <w:iCs/>
              </w:rPr>
            </w:pPr>
          </w:p>
        </w:tc>
        <w:tc>
          <w:tcPr>
            <w:tcW w:w="2233" w:type="dxa"/>
          </w:tcPr>
          <w:p w14:paraId="2393DFF3" w14:textId="1A7B5409" w:rsidR="007E5410" w:rsidRPr="00AB6D75" w:rsidRDefault="007E5410" w:rsidP="00330077">
            <w:pPr>
              <w:rPr>
                <w:rFonts w:ascii="Arial" w:hAnsi="Arial" w:cs="Arial"/>
              </w:rPr>
            </w:pPr>
            <w:r w:rsidRPr="00AB6D75">
              <w:rPr>
                <w:rFonts w:ascii="Arial" w:hAnsi="Arial" w:cs="Arial"/>
              </w:rPr>
              <w:t>Those involved with strategic decision making and policy development understand;</w:t>
            </w:r>
          </w:p>
          <w:p w14:paraId="08538BA7" w14:textId="77777777" w:rsidR="00926F24" w:rsidRPr="00AB6D75" w:rsidRDefault="00926F24" w:rsidP="005F08AC">
            <w:pPr>
              <w:rPr>
                <w:rFonts w:ascii="Arial" w:hAnsi="Arial" w:cs="Arial"/>
              </w:rPr>
            </w:pPr>
          </w:p>
          <w:p w14:paraId="3FA0D25B" w14:textId="77777777" w:rsidR="005C47C9" w:rsidRPr="00AB6D75" w:rsidRDefault="007E5410" w:rsidP="005F08AC">
            <w:pPr>
              <w:pStyle w:val="ListParagraph"/>
              <w:numPr>
                <w:ilvl w:val="0"/>
                <w:numId w:val="22"/>
              </w:numPr>
              <w:rPr>
                <w:rFonts w:ascii="Arial" w:hAnsi="Arial" w:cs="Arial"/>
              </w:rPr>
            </w:pPr>
            <w:r w:rsidRPr="00AB6D75">
              <w:rPr>
                <w:rFonts w:ascii="Arial" w:hAnsi="Arial" w:cs="Arial"/>
              </w:rPr>
              <w:t>The requirements of the Socio-economic Duty</w:t>
            </w:r>
          </w:p>
          <w:p w14:paraId="77CD7A09" w14:textId="4442AA6F" w:rsidR="007E5410" w:rsidRPr="00AB6D75" w:rsidRDefault="007E5410" w:rsidP="005F08AC">
            <w:pPr>
              <w:pStyle w:val="ListParagraph"/>
              <w:numPr>
                <w:ilvl w:val="0"/>
                <w:numId w:val="22"/>
              </w:numPr>
              <w:rPr>
                <w:rFonts w:ascii="Arial" w:hAnsi="Arial" w:cs="Arial"/>
              </w:rPr>
            </w:pPr>
            <w:r w:rsidRPr="00AB6D75">
              <w:rPr>
                <w:rFonts w:ascii="Arial" w:hAnsi="Arial" w:cs="Arial"/>
              </w:rPr>
              <w:t>Socio-economic disadvantage</w:t>
            </w:r>
          </w:p>
          <w:p w14:paraId="2D586F91" w14:textId="77777777" w:rsidR="007E5410" w:rsidRPr="00AB6D75" w:rsidRDefault="007E5410" w:rsidP="005F08AC">
            <w:pPr>
              <w:pStyle w:val="ListParagraph"/>
              <w:numPr>
                <w:ilvl w:val="0"/>
                <w:numId w:val="22"/>
              </w:numPr>
              <w:rPr>
                <w:rFonts w:ascii="Arial" w:hAnsi="Arial" w:cs="Arial"/>
              </w:rPr>
            </w:pPr>
            <w:r w:rsidRPr="00AB6D75">
              <w:rPr>
                <w:rFonts w:ascii="Arial" w:hAnsi="Arial" w:cs="Arial"/>
              </w:rPr>
              <w:t xml:space="preserve">Inequalities experienced and lived experience of socio-economic disadvantage </w:t>
            </w:r>
          </w:p>
          <w:p w14:paraId="5316B5B0" w14:textId="77777777" w:rsidR="00926F24" w:rsidRPr="00AB6D75" w:rsidRDefault="007E5410" w:rsidP="00330077">
            <w:pPr>
              <w:rPr>
                <w:rFonts w:ascii="Arial" w:hAnsi="Arial" w:cs="Arial"/>
              </w:rPr>
            </w:pPr>
            <w:r w:rsidRPr="00AB6D75">
              <w:rPr>
                <w:rFonts w:ascii="Arial" w:hAnsi="Arial" w:cs="Arial"/>
              </w:rPr>
              <w:t xml:space="preserve">Go to the </w:t>
            </w:r>
            <w:hyperlink r:id="rId13" w:history="1">
              <w:r w:rsidRPr="00AB6D75">
                <w:rPr>
                  <w:rStyle w:val="Hyperlink"/>
                  <w:rFonts w:ascii="Arial" w:hAnsi="Arial" w:cs="Arial"/>
                  <w:bCs/>
                </w:rPr>
                <w:t>website</w:t>
              </w:r>
            </w:hyperlink>
            <w:r w:rsidRPr="00AB6D75">
              <w:rPr>
                <w:rFonts w:ascii="Arial" w:hAnsi="Arial" w:cs="Arial"/>
              </w:rPr>
              <w:t xml:space="preserve"> for: </w:t>
            </w:r>
          </w:p>
          <w:p w14:paraId="7B352883" w14:textId="7C33321E" w:rsidR="007E5410" w:rsidRPr="00AB6D75" w:rsidRDefault="00FB5DEC" w:rsidP="00330077">
            <w:pPr>
              <w:rPr>
                <w:rFonts w:ascii="Arial" w:hAnsi="Arial" w:cs="Arial"/>
                <w:b/>
              </w:rPr>
            </w:pPr>
            <w:r w:rsidRPr="00AB6D75">
              <w:rPr>
                <w:rFonts w:ascii="Arial" w:hAnsi="Arial" w:cs="Arial"/>
              </w:rPr>
              <w:t>A</w:t>
            </w:r>
            <w:r w:rsidR="00926F24" w:rsidRPr="00AB6D75">
              <w:rPr>
                <w:rFonts w:ascii="Arial" w:hAnsi="Arial" w:cs="Arial"/>
              </w:rPr>
              <w:t>n</w:t>
            </w:r>
            <w:r w:rsidRPr="00AB6D75">
              <w:rPr>
                <w:rFonts w:ascii="Arial" w:hAnsi="Arial" w:cs="Arial"/>
              </w:rPr>
              <w:t xml:space="preserve"> awareness raising presentation, </w:t>
            </w:r>
            <w:r w:rsidR="007E5410" w:rsidRPr="00AB6D75">
              <w:rPr>
                <w:rFonts w:ascii="Arial" w:hAnsi="Arial" w:cs="Arial"/>
              </w:rPr>
              <w:t>An Explainer animation, lived experience films, eLearning resource</w:t>
            </w:r>
            <w:r w:rsidR="007E5410" w:rsidRPr="00AB6D75">
              <w:rPr>
                <w:rFonts w:ascii="Arial" w:hAnsi="Arial" w:cs="Arial"/>
                <w:b/>
              </w:rPr>
              <w:t xml:space="preserve">. </w:t>
            </w:r>
          </w:p>
        </w:tc>
        <w:tc>
          <w:tcPr>
            <w:tcW w:w="3746" w:type="dxa"/>
          </w:tcPr>
          <w:p w14:paraId="2EF50507" w14:textId="77777777" w:rsidR="005C47C9" w:rsidRPr="00AB6D75" w:rsidRDefault="00FB5DEC" w:rsidP="00330077">
            <w:pPr>
              <w:rPr>
                <w:rFonts w:ascii="Arial" w:hAnsi="Arial" w:cs="Arial"/>
              </w:rPr>
            </w:pPr>
            <w:r w:rsidRPr="00AB6D75">
              <w:rPr>
                <w:rFonts w:ascii="Arial" w:hAnsi="Arial" w:cs="Arial"/>
              </w:rPr>
              <w:t xml:space="preserve">Existing processes consider socio-economic disadvantage and provide evidence that </w:t>
            </w:r>
            <w:r w:rsidRPr="00AB6D75">
              <w:rPr>
                <w:rFonts w:ascii="Arial" w:hAnsi="Arial" w:cs="Arial"/>
                <w:u w:val="single"/>
              </w:rPr>
              <w:t>due regard</w:t>
            </w:r>
            <w:r w:rsidRPr="00AB6D75">
              <w:rPr>
                <w:rFonts w:ascii="Arial" w:hAnsi="Arial" w:cs="Arial"/>
              </w:rPr>
              <w:t xml:space="preserve"> has been given</w:t>
            </w:r>
          </w:p>
          <w:p w14:paraId="64DE4897" w14:textId="77777777" w:rsidR="007D1A8E" w:rsidRPr="00AB6D75" w:rsidRDefault="00FB5DEC" w:rsidP="00330077">
            <w:pPr>
              <w:rPr>
                <w:rFonts w:ascii="Arial" w:hAnsi="Arial" w:cs="Arial"/>
              </w:rPr>
            </w:pPr>
            <w:r w:rsidRPr="00AB6D75">
              <w:rPr>
                <w:rFonts w:ascii="Arial" w:hAnsi="Arial" w:cs="Arial"/>
              </w:rPr>
              <w:t>For example;</w:t>
            </w:r>
          </w:p>
          <w:p w14:paraId="7955ABB3" w14:textId="6CB846CE" w:rsidR="006C0204" w:rsidRPr="00AB6D75" w:rsidRDefault="00FB5DEC" w:rsidP="00FE3491">
            <w:pPr>
              <w:pStyle w:val="ListParagraph"/>
              <w:numPr>
                <w:ilvl w:val="0"/>
                <w:numId w:val="26"/>
              </w:numPr>
              <w:rPr>
                <w:rFonts w:ascii="Arial" w:hAnsi="Arial" w:cs="Arial"/>
              </w:rPr>
            </w:pPr>
            <w:r w:rsidRPr="00AB6D75">
              <w:rPr>
                <w:rFonts w:ascii="Arial" w:hAnsi="Arial" w:cs="Arial"/>
                <w:b/>
              </w:rPr>
              <w:t>Impact assessment</w:t>
            </w:r>
            <w:r w:rsidRPr="00AB6D75">
              <w:rPr>
                <w:rFonts w:ascii="Arial" w:hAnsi="Arial" w:cs="Arial"/>
              </w:rPr>
              <w:t xml:space="preserve"> </w:t>
            </w:r>
            <w:r w:rsidR="00A73028" w:rsidRPr="00AB6D75">
              <w:rPr>
                <w:rFonts w:ascii="Arial" w:hAnsi="Arial" w:cs="Arial"/>
              </w:rPr>
              <w:t>I</w:t>
            </w:r>
            <w:r w:rsidR="007D1A8E" w:rsidRPr="00AB6D75">
              <w:rPr>
                <w:rFonts w:ascii="Arial" w:hAnsi="Arial" w:cs="Arial"/>
              </w:rPr>
              <w:t>nclusion of reducing inequalities of outcome linked to socio-economic disadvantage, beyond simply mitigating adverse impact. Ensure impact assessments are live documents that are regularly reviewed and used to understand ongoing impact.</w:t>
            </w:r>
          </w:p>
          <w:p w14:paraId="7B295A3A" w14:textId="0C265224" w:rsidR="006C0204" w:rsidRPr="00AB6D75" w:rsidRDefault="007D1A8E" w:rsidP="00330077">
            <w:pPr>
              <w:pStyle w:val="ListParagraph"/>
              <w:numPr>
                <w:ilvl w:val="0"/>
                <w:numId w:val="23"/>
              </w:numPr>
              <w:rPr>
                <w:rFonts w:ascii="Arial" w:hAnsi="Arial" w:cs="Arial"/>
                <w:b/>
              </w:rPr>
            </w:pPr>
            <w:r w:rsidRPr="00AB6D75">
              <w:rPr>
                <w:rFonts w:ascii="Arial" w:hAnsi="Arial" w:cs="Arial"/>
                <w:b/>
              </w:rPr>
              <w:t xml:space="preserve">Policy initiation documents/processes </w:t>
            </w:r>
          </w:p>
          <w:p w14:paraId="09FA73D6" w14:textId="23582E16" w:rsidR="006C0204" w:rsidRPr="00AB6D75" w:rsidRDefault="007D1A8E" w:rsidP="00330077">
            <w:pPr>
              <w:pStyle w:val="ListParagraph"/>
              <w:numPr>
                <w:ilvl w:val="0"/>
                <w:numId w:val="23"/>
              </w:numPr>
              <w:rPr>
                <w:rFonts w:ascii="Arial" w:hAnsi="Arial" w:cs="Arial"/>
                <w:b/>
              </w:rPr>
            </w:pPr>
            <w:r w:rsidRPr="00AB6D75">
              <w:rPr>
                <w:rFonts w:ascii="Arial" w:hAnsi="Arial" w:cs="Arial"/>
                <w:b/>
              </w:rPr>
              <w:t xml:space="preserve">Risk assessment processes </w:t>
            </w:r>
          </w:p>
          <w:p w14:paraId="2705AA55" w14:textId="7FF4207B" w:rsidR="006C0204" w:rsidRPr="00AB6D75" w:rsidRDefault="007D1A8E" w:rsidP="00330077">
            <w:pPr>
              <w:pStyle w:val="ListParagraph"/>
              <w:numPr>
                <w:ilvl w:val="0"/>
                <w:numId w:val="23"/>
              </w:numPr>
              <w:rPr>
                <w:rFonts w:ascii="Arial" w:hAnsi="Arial" w:cs="Arial"/>
                <w:b/>
              </w:rPr>
            </w:pPr>
            <w:r w:rsidRPr="00AB6D75">
              <w:rPr>
                <w:rFonts w:ascii="Arial" w:hAnsi="Arial" w:cs="Arial"/>
                <w:b/>
              </w:rPr>
              <w:t>Board or committee pape</w:t>
            </w:r>
            <w:r w:rsidR="00C7423E" w:rsidRPr="00AB6D75">
              <w:rPr>
                <w:rFonts w:ascii="Arial" w:hAnsi="Arial" w:cs="Arial"/>
                <w:b/>
              </w:rPr>
              <w:t>rs</w:t>
            </w:r>
            <w:r w:rsidRPr="00AB6D75">
              <w:rPr>
                <w:rFonts w:ascii="Arial" w:hAnsi="Arial" w:cs="Arial"/>
                <w:b/>
              </w:rPr>
              <w:t xml:space="preserve"> </w:t>
            </w:r>
          </w:p>
          <w:p w14:paraId="62FAD292" w14:textId="32016ECD" w:rsidR="006C0204" w:rsidRPr="00AB6D75" w:rsidRDefault="007D1A8E" w:rsidP="00330077">
            <w:pPr>
              <w:pStyle w:val="ListParagraph"/>
              <w:numPr>
                <w:ilvl w:val="0"/>
                <w:numId w:val="23"/>
              </w:numPr>
              <w:rPr>
                <w:rFonts w:ascii="Arial" w:hAnsi="Arial" w:cs="Arial"/>
                <w:b/>
              </w:rPr>
            </w:pPr>
            <w:r w:rsidRPr="00AB6D75">
              <w:rPr>
                <w:rFonts w:ascii="Arial" w:hAnsi="Arial" w:cs="Arial"/>
                <w:b/>
              </w:rPr>
              <w:t>Communication and engagement plans and processes</w:t>
            </w:r>
          </w:p>
          <w:p w14:paraId="42DC5097" w14:textId="77777777" w:rsidR="007D1A8E" w:rsidRPr="00AB6D75" w:rsidRDefault="007D1A8E" w:rsidP="00330077">
            <w:pPr>
              <w:pStyle w:val="ListParagraph"/>
              <w:numPr>
                <w:ilvl w:val="0"/>
                <w:numId w:val="23"/>
              </w:numPr>
              <w:rPr>
                <w:rFonts w:ascii="Arial" w:hAnsi="Arial" w:cs="Arial"/>
                <w:b/>
              </w:rPr>
            </w:pPr>
            <w:r w:rsidRPr="00AB6D75">
              <w:rPr>
                <w:rFonts w:ascii="Arial" w:hAnsi="Arial" w:cs="Arial"/>
                <w:b/>
              </w:rPr>
              <w:t>Research plans</w:t>
            </w:r>
          </w:p>
          <w:p w14:paraId="10CFE4BC" w14:textId="77777777" w:rsidR="00A10FAF" w:rsidRPr="00AB6D75" w:rsidRDefault="00A10FAF" w:rsidP="00330077">
            <w:pPr>
              <w:rPr>
                <w:rFonts w:ascii="Arial" w:hAnsi="Arial" w:cs="Arial"/>
                <w:b/>
              </w:rPr>
            </w:pPr>
          </w:p>
          <w:p w14:paraId="6CDFDF76" w14:textId="527D4E6A" w:rsidR="00EC5437" w:rsidRPr="00AB6D75" w:rsidRDefault="00A10FAF" w:rsidP="00AB6D75">
            <w:pPr>
              <w:rPr>
                <w:rFonts w:ascii="Arial" w:hAnsi="Arial" w:cs="Arial"/>
              </w:rPr>
            </w:pPr>
            <w:r w:rsidRPr="00AB6D75">
              <w:rPr>
                <w:rFonts w:ascii="Arial" w:hAnsi="Arial" w:cs="Arial"/>
              </w:rPr>
              <w:t xml:space="preserve">Please refer to </w:t>
            </w:r>
            <w:r w:rsidR="00EC5437">
              <w:rPr>
                <w:rFonts w:ascii="Arial" w:hAnsi="Arial" w:cs="Arial"/>
              </w:rPr>
              <w:t xml:space="preserve">page 10 of the </w:t>
            </w:r>
            <w:hyperlink r:id="rId14" w:history="1">
              <w:r w:rsidR="00A73028" w:rsidRPr="00AB6D75">
                <w:rPr>
                  <w:rStyle w:val="Hyperlink"/>
                  <w:rFonts w:ascii="Arial" w:hAnsi="Arial" w:cs="Arial"/>
                </w:rPr>
                <w:t>Statutory</w:t>
              </w:r>
              <w:r w:rsidR="00EC5437" w:rsidRPr="00AB6D75">
                <w:rPr>
                  <w:rStyle w:val="Hyperlink"/>
                  <w:rFonts w:ascii="Arial" w:hAnsi="Arial" w:cs="Arial"/>
                </w:rPr>
                <w:t xml:space="preserve"> guidance</w:t>
              </w:r>
            </w:hyperlink>
          </w:p>
          <w:p w14:paraId="41601437" w14:textId="15BF745D" w:rsidR="00EC5437" w:rsidRPr="00AB6D75" w:rsidRDefault="00A10FAF" w:rsidP="00AB6D75">
            <w:pPr>
              <w:rPr>
                <w:rFonts w:ascii="Arial" w:hAnsi="Arial" w:cs="Arial"/>
              </w:rPr>
            </w:pPr>
            <w:r w:rsidRPr="00AB6D75">
              <w:rPr>
                <w:rFonts w:ascii="Arial" w:hAnsi="Arial" w:cs="Arial"/>
              </w:rPr>
              <w:t xml:space="preserve"> </w:t>
            </w:r>
          </w:p>
        </w:tc>
        <w:tc>
          <w:tcPr>
            <w:tcW w:w="2835" w:type="dxa"/>
          </w:tcPr>
          <w:p w14:paraId="067C0FDA" w14:textId="60E9725B" w:rsidR="005C47C9" w:rsidRPr="00AB6D75" w:rsidRDefault="005A63C8" w:rsidP="00330077">
            <w:pPr>
              <w:pStyle w:val="NormalWeb"/>
              <w:rPr>
                <w:rFonts w:ascii="Arial" w:hAnsi="Arial" w:cs="Arial"/>
                <w:bCs/>
              </w:rPr>
            </w:pPr>
            <w:r w:rsidRPr="00AB6D75">
              <w:rPr>
                <w:rFonts w:ascii="Arial" w:hAnsi="Arial" w:cs="Arial"/>
                <w:bCs/>
              </w:rPr>
              <w:t>Evidence is fully considered to inform the decision and to fully understand the impact. Including:</w:t>
            </w:r>
          </w:p>
          <w:p w14:paraId="76D50730" w14:textId="0B99E899" w:rsidR="005A63C8" w:rsidRPr="00AB6D75" w:rsidRDefault="005A63C8" w:rsidP="00330077">
            <w:pPr>
              <w:pStyle w:val="NoSpacing"/>
              <w:rPr>
                <w:rFonts w:ascii="Arial" w:hAnsi="Arial" w:cs="Arial"/>
              </w:rPr>
            </w:pPr>
            <w:r w:rsidRPr="00AB6D75">
              <w:rPr>
                <w:rFonts w:ascii="Arial" w:hAnsi="Arial" w:cs="Arial"/>
              </w:rPr>
              <w:t>National data</w:t>
            </w:r>
          </w:p>
          <w:p w14:paraId="2A7CEE9B" w14:textId="2A48BC34" w:rsidR="005A63C8" w:rsidRPr="00AB6D75" w:rsidRDefault="005A63C8" w:rsidP="00330077">
            <w:pPr>
              <w:pStyle w:val="NoSpacing"/>
              <w:rPr>
                <w:rFonts w:ascii="Arial" w:hAnsi="Arial" w:cs="Arial"/>
              </w:rPr>
            </w:pPr>
            <w:r w:rsidRPr="00AB6D75">
              <w:rPr>
                <w:rFonts w:ascii="Arial" w:hAnsi="Arial" w:cs="Arial"/>
              </w:rPr>
              <w:t>Local data</w:t>
            </w:r>
          </w:p>
          <w:p w14:paraId="4368F394" w14:textId="748140BF" w:rsidR="005A63C8" w:rsidRPr="00AB6D75" w:rsidRDefault="00A73028" w:rsidP="00330077">
            <w:pPr>
              <w:pStyle w:val="NoSpacing"/>
              <w:rPr>
                <w:rFonts w:ascii="Arial" w:hAnsi="Arial" w:cs="Arial"/>
              </w:rPr>
            </w:pPr>
            <w:r w:rsidRPr="00AB6D75">
              <w:rPr>
                <w:rFonts w:ascii="Arial" w:hAnsi="Arial" w:cs="Arial"/>
              </w:rPr>
              <w:t>Future t</w:t>
            </w:r>
            <w:r w:rsidR="005A63C8" w:rsidRPr="00AB6D75">
              <w:rPr>
                <w:rFonts w:ascii="Arial" w:hAnsi="Arial" w:cs="Arial"/>
              </w:rPr>
              <w:t>rends</w:t>
            </w:r>
            <w:r w:rsidR="00AB6D75">
              <w:rPr>
                <w:rFonts w:ascii="Arial" w:hAnsi="Arial" w:cs="Arial"/>
              </w:rPr>
              <w:t xml:space="preserve"> </w:t>
            </w:r>
            <w:r w:rsidR="005A63C8" w:rsidRPr="00AB6D75">
              <w:rPr>
                <w:rFonts w:ascii="Arial" w:hAnsi="Arial" w:cs="Arial"/>
              </w:rPr>
              <w:t>information</w:t>
            </w:r>
          </w:p>
          <w:p w14:paraId="4AE3C661" w14:textId="089A7E2A" w:rsidR="005A63C8" w:rsidRPr="00AB6D75" w:rsidRDefault="005A63C8" w:rsidP="00330077">
            <w:pPr>
              <w:pStyle w:val="NoSpacing"/>
              <w:rPr>
                <w:rFonts w:ascii="Arial" w:hAnsi="Arial" w:cs="Arial"/>
              </w:rPr>
            </w:pPr>
            <w:r w:rsidRPr="00AB6D75">
              <w:rPr>
                <w:rFonts w:ascii="Arial" w:hAnsi="Arial" w:cs="Arial"/>
              </w:rPr>
              <w:t>Qualitative data</w:t>
            </w:r>
          </w:p>
          <w:p w14:paraId="29E6D2F9" w14:textId="5617AC1A" w:rsidR="005A63C8" w:rsidRPr="00AB6D75" w:rsidRDefault="005A63C8" w:rsidP="00330077">
            <w:pPr>
              <w:pStyle w:val="NoSpacing"/>
              <w:rPr>
                <w:rFonts w:ascii="Arial" w:hAnsi="Arial" w:cs="Arial"/>
              </w:rPr>
            </w:pPr>
            <w:r w:rsidRPr="00AB6D75">
              <w:rPr>
                <w:rFonts w:ascii="Arial" w:hAnsi="Arial" w:cs="Arial"/>
              </w:rPr>
              <w:t>Information from partners, such as, public service boards.</w:t>
            </w:r>
          </w:p>
          <w:p w14:paraId="346951F2" w14:textId="47917D83" w:rsidR="005A63C8" w:rsidRPr="00AB6D75" w:rsidRDefault="005A63C8" w:rsidP="00330077">
            <w:pPr>
              <w:pStyle w:val="NoSpacing"/>
              <w:rPr>
                <w:rFonts w:ascii="Arial" w:hAnsi="Arial" w:cs="Arial"/>
              </w:rPr>
            </w:pPr>
            <w:r w:rsidRPr="00AB6D75">
              <w:rPr>
                <w:rFonts w:ascii="Arial" w:hAnsi="Arial" w:cs="Arial"/>
              </w:rPr>
              <w:t xml:space="preserve">Information gathered to meet the requirements of other duties such as the Public Sector Equality Duty and the Well-being of Future Generations (Wales) Act </w:t>
            </w:r>
          </w:p>
          <w:p w14:paraId="3388DE23" w14:textId="000451CA" w:rsidR="005A63C8" w:rsidRPr="00AB6D75" w:rsidRDefault="005A63C8" w:rsidP="00330077">
            <w:pPr>
              <w:pStyle w:val="NoSpacing"/>
              <w:rPr>
                <w:rFonts w:ascii="Arial" w:hAnsi="Arial" w:cs="Arial"/>
              </w:rPr>
            </w:pPr>
            <w:r w:rsidRPr="00AB6D75">
              <w:rPr>
                <w:rFonts w:ascii="Arial" w:hAnsi="Arial" w:cs="Arial"/>
              </w:rPr>
              <w:t xml:space="preserve">Involvement with individuals and communities affected by socio-economic disadvantage </w:t>
            </w:r>
          </w:p>
          <w:p w14:paraId="40C25BD2" w14:textId="7B494BEC" w:rsidR="006C0204" w:rsidRPr="00AB6D75" w:rsidRDefault="006C0204" w:rsidP="00330077">
            <w:pPr>
              <w:pStyle w:val="NoSpacing"/>
              <w:rPr>
                <w:rFonts w:ascii="Arial" w:hAnsi="Arial" w:cs="Arial"/>
              </w:rPr>
            </w:pPr>
          </w:p>
          <w:p w14:paraId="45F2931F" w14:textId="0A0C6EBD" w:rsidR="006C0204" w:rsidRPr="00AB6D75" w:rsidRDefault="006C0204" w:rsidP="00330077">
            <w:pPr>
              <w:pStyle w:val="NoSpacing"/>
              <w:rPr>
                <w:rFonts w:ascii="Arial" w:hAnsi="Arial" w:cs="Arial"/>
              </w:rPr>
            </w:pPr>
            <w:r w:rsidRPr="00AB6D75">
              <w:rPr>
                <w:rFonts w:ascii="Arial" w:hAnsi="Arial" w:cs="Arial"/>
              </w:rPr>
              <w:t xml:space="preserve">Changes to decisions are recorded </w:t>
            </w:r>
          </w:p>
          <w:p w14:paraId="72847F07" w14:textId="77777777" w:rsidR="00AB6D75" w:rsidRPr="009409D5" w:rsidRDefault="00AB6D75" w:rsidP="00AB6D75">
            <w:pPr>
              <w:rPr>
                <w:rFonts w:ascii="Arial" w:hAnsi="Arial" w:cs="Arial"/>
              </w:rPr>
            </w:pPr>
            <w:r w:rsidRPr="009409D5">
              <w:rPr>
                <w:rFonts w:ascii="Arial" w:hAnsi="Arial" w:cs="Arial"/>
              </w:rPr>
              <w:t xml:space="preserve">Please refer to </w:t>
            </w:r>
            <w:r>
              <w:rPr>
                <w:rFonts w:ascii="Arial" w:hAnsi="Arial" w:cs="Arial"/>
              </w:rPr>
              <w:t xml:space="preserve">page 10 of the </w:t>
            </w:r>
            <w:hyperlink r:id="rId15" w:history="1">
              <w:r w:rsidRPr="009409D5">
                <w:rPr>
                  <w:rStyle w:val="Hyperlink"/>
                  <w:rFonts w:ascii="Arial" w:hAnsi="Arial" w:cs="Arial"/>
                </w:rPr>
                <w:t>Statutory guidance</w:t>
              </w:r>
            </w:hyperlink>
          </w:p>
          <w:p w14:paraId="1DF447BE" w14:textId="4C97759A" w:rsidR="005A63C8" w:rsidRPr="00AB6D75" w:rsidRDefault="00AB6D75" w:rsidP="00AB6D75">
            <w:pPr>
              <w:pStyle w:val="NormalWeb"/>
              <w:rPr>
                <w:rFonts w:ascii="Arial" w:hAnsi="Arial" w:cs="Arial"/>
                <w:bCs/>
              </w:rPr>
            </w:pPr>
            <w:r w:rsidRPr="009409D5">
              <w:rPr>
                <w:rFonts w:ascii="Arial" w:hAnsi="Arial" w:cs="Arial"/>
              </w:rPr>
              <w:t xml:space="preserve"> </w:t>
            </w:r>
          </w:p>
        </w:tc>
        <w:tc>
          <w:tcPr>
            <w:tcW w:w="3402" w:type="dxa"/>
          </w:tcPr>
          <w:p w14:paraId="4A42065D" w14:textId="4BE2DE8E" w:rsidR="005C47C9" w:rsidRPr="00AB6D75" w:rsidRDefault="00A73028" w:rsidP="00330077">
            <w:pPr>
              <w:pStyle w:val="NormalWeb"/>
              <w:rPr>
                <w:rFonts w:ascii="Arial" w:hAnsi="Arial" w:cs="Arial"/>
                <w:bCs/>
              </w:rPr>
            </w:pPr>
            <w:r w:rsidRPr="00AB6D75">
              <w:rPr>
                <w:rFonts w:ascii="Arial" w:hAnsi="Arial" w:cs="Arial"/>
                <w:bCs/>
              </w:rPr>
              <w:t>Evidence gathered considers</w:t>
            </w:r>
            <w:r w:rsidR="006C0204" w:rsidRPr="00AB6D75">
              <w:rPr>
                <w:rFonts w:ascii="Arial" w:hAnsi="Arial" w:cs="Arial"/>
                <w:bCs/>
              </w:rPr>
              <w:t xml:space="preserve"> protected characteristics and both places and communities of interest.</w:t>
            </w:r>
          </w:p>
          <w:p w14:paraId="74416705" w14:textId="676D4487" w:rsidR="006C0204" w:rsidRPr="00AB6D75" w:rsidRDefault="00893E3B" w:rsidP="00330077">
            <w:pPr>
              <w:pStyle w:val="NormalWeb"/>
              <w:rPr>
                <w:rFonts w:ascii="Arial" w:hAnsi="Arial" w:cs="Arial"/>
                <w:b/>
                <w:bCs/>
              </w:rPr>
            </w:pPr>
            <w:r w:rsidRPr="00AB6D75">
              <w:rPr>
                <w:rFonts w:ascii="Arial" w:hAnsi="Arial" w:cs="Arial"/>
                <w:bCs/>
              </w:rPr>
              <w:t>D</w:t>
            </w:r>
            <w:r w:rsidR="006C0204" w:rsidRPr="00AB6D75">
              <w:rPr>
                <w:rFonts w:ascii="Arial" w:hAnsi="Arial" w:cs="Arial"/>
                <w:bCs/>
              </w:rPr>
              <w:t xml:space="preserve">ecision makers, leaders and policy leads </w:t>
            </w:r>
            <w:r w:rsidRPr="00AB6D75">
              <w:rPr>
                <w:rFonts w:ascii="Arial" w:hAnsi="Arial" w:cs="Arial"/>
                <w:bCs/>
              </w:rPr>
              <w:t xml:space="preserve">understand </w:t>
            </w:r>
            <w:r w:rsidR="006C0204" w:rsidRPr="00AB6D75">
              <w:rPr>
                <w:rFonts w:ascii="Arial" w:hAnsi="Arial" w:cs="Arial"/>
                <w:bCs/>
              </w:rPr>
              <w:t xml:space="preserve">where </w:t>
            </w:r>
            <w:r w:rsidR="00033A5B" w:rsidRPr="00AB6D75">
              <w:rPr>
                <w:rFonts w:ascii="Arial" w:hAnsi="Arial" w:cs="Arial"/>
                <w:bCs/>
              </w:rPr>
              <w:t>the</w:t>
            </w:r>
            <w:r w:rsidR="006C0204" w:rsidRPr="00AB6D75">
              <w:rPr>
                <w:rFonts w:ascii="Arial" w:hAnsi="Arial" w:cs="Arial"/>
                <w:bCs/>
              </w:rPr>
              <w:t xml:space="preserve"> organisation can achieve the greatest impact in reducing inequalities related to socio-economic disadvantage</w:t>
            </w:r>
            <w:r w:rsidR="006C0204" w:rsidRPr="00AB6D75">
              <w:rPr>
                <w:rFonts w:ascii="Arial" w:hAnsi="Arial" w:cs="Arial"/>
                <w:b/>
                <w:bCs/>
              </w:rPr>
              <w:t>.</w:t>
            </w:r>
          </w:p>
          <w:p w14:paraId="3F70FB9F" w14:textId="77866086" w:rsidR="006C0204" w:rsidRPr="00AB6D75" w:rsidRDefault="006C0204" w:rsidP="00330077">
            <w:pPr>
              <w:pStyle w:val="NormalWeb"/>
              <w:rPr>
                <w:rFonts w:ascii="Arial" w:hAnsi="Arial" w:cs="Arial"/>
                <w:b/>
                <w:bCs/>
              </w:rPr>
            </w:pPr>
          </w:p>
        </w:tc>
      </w:tr>
      <w:tr w:rsidR="005C47C9" w:rsidRPr="00AB6D75" w14:paraId="7BB1237D" w14:textId="77777777" w:rsidTr="00AB6D75">
        <w:trPr>
          <w:trHeight w:val="588"/>
        </w:trPr>
        <w:tc>
          <w:tcPr>
            <w:tcW w:w="3230" w:type="dxa"/>
            <w:shd w:val="clear" w:color="auto" w:fill="C9C9C9" w:themeFill="accent3" w:themeFillTint="99"/>
          </w:tcPr>
          <w:p w14:paraId="65E1205C" w14:textId="77777777" w:rsidR="005C47C9" w:rsidRPr="00AB6D75" w:rsidRDefault="005C47C9" w:rsidP="00330077">
            <w:pPr>
              <w:pStyle w:val="NormalWeb"/>
              <w:spacing w:before="0" w:beforeAutospacing="0" w:after="0" w:afterAutospacing="0"/>
              <w:rPr>
                <w:rFonts w:ascii="Arial" w:hAnsi="Arial" w:cs="Arial"/>
                <w:b/>
                <w:bCs/>
                <w:iCs/>
              </w:rPr>
            </w:pPr>
            <w:r w:rsidRPr="00AB6D75">
              <w:rPr>
                <w:rFonts w:ascii="Arial" w:hAnsi="Arial" w:cs="Arial"/>
                <w:b/>
                <w:bCs/>
                <w:iCs/>
              </w:rPr>
              <w:t>Summary – your key points on the stage reached in the journey and future direction of travel</w:t>
            </w:r>
          </w:p>
        </w:tc>
        <w:tc>
          <w:tcPr>
            <w:tcW w:w="12216" w:type="dxa"/>
            <w:gridSpan w:val="4"/>
            <w:shd w:val="clear" w:color="auto" w:fill="auto"/>
          </w:tcPr>
          <w:p w14:paraId="08A34C42" w14:textId="77777777" w:rsidR="005C47C9" w:rsidRPr="00AB6D75" w:rsidRDefault="005C47C9" w:rsidP="00330077">
            <w:pPr>
              <w:rPr>
                <w:rFonts w:ascii="Arial" w:hAnsi="Arial" w:cs="Arial"/>
              </w:rPr>
            </w:pPr>
          </w:p>
        </w:tc>
      </w:tr>
    </w:tbl>
    <w:p w14:paraId="4CEEED44" w14:textId="77777777" w:rsidR="009C121C" w:rsidRPr="00AB6D75" w:rsidRDefault="009C121C">
      <w:pPr>
        <w:rPr>
          <w:rFonts w:ascii="Arial" w:hAnsi="Arial" w:cs="Arial"/>
        </w:rPr>
      </w:pPr>
    </w:p>
    <w:p w14:paraId="05111862" w14:textId="77777777" w:rsidR="00D7306E" w:rsidRPr="00926F24" w:rsidRDefault="00D7306E" w:rsidP="00957E38">
      <w:pPr>
        <w:jc w:val="center"/>
        <w:rPr>
          <w:rFonts w:cstheme="minorHAnsi"/>
          <w:color w:val="000000" w:themeColor="text1"/>
          <w:sz w:val="16"/>
          <w:szCs w:val="16"/>
        </w:rPr>
      </w:pPr>
    </w:p>
    <w:p w14:paraId="1D7A0453" w14:textId="77777777" w:rsidR="00D7306E" w:rsidRPr="00926F24" w:rsidRDefault="00D7306E" w:rsidP="00957E38">
      <w:pPr>
        <w:jc w:val="center"/>
        <w:rPr>
          <w:rFonts w:cstheme="minorHAnsi"/>
          <w:color w:val="000000" w:themeColor="text1"/>
          <w:sz w:val="16"/>
          <w:szCs w:val="16"/>
        </w:rPr>
      </w:pPr>
    </w:p>
    <w:p w14:paraId="6D04A6B0" w14:textId="77777777" w:rsidR="00D7306E" w:rsidRPr="00926F24" w:rsidRDefault="00D7306E" w:rsidP="00957E38">
      <w:pPr>
        <w:jc w:val="center"/>
        <w:rPr>
          <w:rFonts w:cstheme="minorHAnsi"/>
          <w:color w:val="000000" w:themeColor="text1"/>
          <w:sz w:val="16"/>
          <w:szCs w:val="16"/>
        </w:rPr>
      </w:pPr>
    </w:p>
    <w:p w14:paraId="667B932A" w14:textId="77777777" w:rsidR="00D7306E" w:rsidRPr="00926F24" w:rsidRDefault="00D7306E" w:rsidP="00957E38">
      <w:pPr>
        <w:jc w:val="center"/>
        <w:rPr>
          <w:rFonts w:cstheme="minorHAnsi"/>
          <w:color w:val="000000" w:themeColor="text1"/>
          <w:sz w:val="16"/>
          <w:szCs w:val="16"/>
        </w:rPr>
      </w:pPr>
    </w:p>
    <w:p w14:paraId="2DC99B62" w14:textId="77777777" w:rsidR="00D7306E" w:rsidRPr="00926F24" w:rsidRDefault="00D7306E" w:rsidP="00957E38">
      <w:pPr>
        <w:jc w:val="center"/>
        <w:rPr>
          <w:rFonts w:cstheme="minorHAnsi"/>
          <w:color w:val="000000" w:themeColor="text1"/>
          <w:sz w:val="16"/>
          <w:szCs w:val="16"/>
        </w:rPr>
      </w:pPr>
    </w:p>
    <w:p w14:paraId="2A5AD25F" w14:textId="77777777" w:rsidR="00D7306E" w:rsidRPr="00926F24" w:rsidRDefault="00D7306E" w:rsidP="00957E38">
      <w:pPr>
        <w:jc w:val="center"/>
        <w:rPr>
          <w:rFonts w:cstheme="minorHAnsi"/>
          <w:color w:val="000000" w:themeColor="text1"/>
          <w:sz w:val="16"/>
          <w:szCs w:val="16"/>
        </w:rPr>
      </w:pPr>
    </w:p>
    <w:p w14:paraId="79456332" w14:textId="77777777" w:rsidR="00D7306E" w:rsidRPr="00926F24" w:rsidRDefault="00D7306E" w:rsidP="00957E38">
      <w:pPr>
        <w:jc w:val="center"/>
        <w:rPr>
          <w:rFonts w:cstheme="minorHAnsi"/>
          <w:color w:val="000000" w:themeColor="text1"/>
          <w:sz w:val="16"/>
          <w:szCs w:val="16"/>
        </w:rPr>
      </w:pPr>
    </w:p>
    <w:p w14:paraId="75FB6973" w14:textId="77777777" w:rsidR="00D7306E" w:rsidRPr="00926F24" w:rsidRDefault="00D7306E" w:rsidP="00957E38">
      <w:pPr>
        <w:jc w:val="center"/>
        <w:rPr>
          <w:rFonts w:cstheme="minorHAnsi"/>
          <w:color w:val="000000" w:themeColor="text1"/>
          <w:sz w:val="16"/>
          <w:szCs w:val="16"/>
        </w:rPr>
      </w:pPr>
    </w:p>
    <w:p w14:paraId="49095D62" w14:textId="6CFB03D6" w:rsidR="00D7306E" w:rsidRPr="00926F24" w:rsidRDefault="00CF5683" w:rsidP="00CF5683">
      <w:pPr>
        <w:tabs>
          <w:tab w:val="left" w:pos="403"/>
        </w:tabs>
        <w:rPr>
          <w:rFonts w:cstheme="minorHAnsi"/>
          <w:color w:val="000000" w:themeColor="text1"/>
          <w:sz w:val="16"/>
          <w:szCs w:val="16"/>
        </w:rPr>
      </w:pPr>
      <w:r w:rsidRPr="00926F24">
        <w:rPr>
          <w:rFonts w:cstheme="minorHAnsi"/>
          <w:color w:val="000000" w:themeColor="text1"/>
          <w:sz w:val="16"/>
          <w:szCs w:val="16"/>
        </w:rPr>
        <w:tab/>
      </w:r>
    </w:p>
    <w:p w14:paraId="74CF2CEA" w14:textId="5E4E0168" w:rsidR="00CF5683" w:rsidRPr="00926F24" w:rsidRDefault="00CF5683" w:rsidP="00CF5683">
      <w:pPr>
        <w:tabs>
          <w:tab w:val="left" w:pos="403"/>
        </w:tabs>
        <w:rPr>
          <w:rFonts w:cstheme="minorHAnsi"/>
          <w:color w:val="000000" w:themeColor="text1"/>
          <w:sz w:val="16"/>
          <w:szCs w:val="16"/>
        </w:rPr>
      </w:pPr>
    </w:p>
    <w:p w14:paraId="7198CE44" w14:textId="0E2DFE97" w:rsidR="00CF5683" w:rsidRPr="00926F24" w:rsidRDefault="00CF5683" w:rsidP="00CF5683">
      <w:pPr>
        <w:tabs>
          <w:tab w:val="left" w:pos="403"/>
        </w:tabs>
        <w:rPr>
          <w:rFonts w:cstheme="minorHAnsi"/>
          <w:color w:val="000000" w:themeColor="text1"/>
          <w:sz w:val="16"/>
          <w:szCs w:val="16"/>
        </w:rPr>
      </w:pPr>
    </w:p>
    <w:p w14:paraId="158CB250" w14:textId="3712A780" w:rsidR="00577146" w:rsidRPr="00926F24" w:rsidRDefault="00577146" w:rsidP="00CF5683">
      <w:pPr>
        <w:tabs>
          <w:tab w:val="left" w:pos="403"/>
        </w:tabs>
        <w:rPr>
          <w:rFonts w:cstheme="minorHAnsi"/>
          <w:color w:val="000000" w:themeColor="text1"/>
          <w:sz w:val="16"/>
          <w:szCs w:val="16"/>
        </w:rPr>
      </w:pPr>
    </w:p>
    <w:p w14:paraId="61B09870" w14:textId="4ED4F0B4" w:rsidR="00577146" w:rsidRPr="00926F24" w:rsidRDefault="00577146" w:rsidP="00577146">
      <w:pPr>
        <w:rPr>
          <w:rFonts w:cstheme="minorHAnsi"/>
          <w:sz w:val="16"/>
          <w:szCs w:val="16"/>
        </w:rPr>
      </w:pPr>
    </w:p>
    <w:p w14:paraId="6C90B441" w14:textId="3A2A9B0B" w:rsidR="00CF5683" w:rsidRPr="00926F24" w:rsidRDefault="00577146" w:rsidP="00577146">
      <w:pPr>
        <w:rPr>
          <w:rFonts w:cstheme="minorHAnsi"/>
          <w:sz w:val="16"/>
          <w:szCs w:val="16"/>
        </w:rPr>
      </w:pPr>
      <w:r w:rsidRPr="00926F24">
        <w:rPr>
          <w:rFonts w:cstheme="minorHAnsi"/>
          <w:sz w:val="16"/>
          <w:szCs w:val="16"/>
        </w:rPr>
        <w:br w:type="page"/>
      </w:r>
    </w:p>
    <w:tbl>
      <w:tblPr>
        <w:tblStyle w:val="TableGrid"/>
        <w:tblpPr w:leftFromText="180" w:rightFromText="180" w:vertAnchor="text" w:horzAnchor="margin" w:tblpX="-856" w:tblpY="-1264"/>
        <w:tblW w:w="15588" w:type="dxa"/>
        <w:tblLook w:val="04A0" w:firstRow="1" w:lastRow="0" w:firstColumn="1" w:lastColumn="0" w:noHBand="0" w:noVBand="1"/>
        <w:tblCaption w:val="Assuring that the Duty has been complied with "/>
      </w:tblPr>
      <w:tblGrid>
        <w:gridCol w:w="2457"/>
        <w:gridCol w:w="4249"/>
        <w:gridCol w:w="2954"/>
        <w:gridCol w:w="3340"/>
        <w:gridCol w:w="2588"/>
      </w:tblGrid>
      <w:tr w:rsidR="00AB6D75" w:rsidRPr="00926F24" w14:paraId="1AC53556" w14:textId="77777777" w:rsidTr="005F08AC">
        <w:trPr>
          <w:trHeight w:val="3248"/>
          <w:tblHeader/>
        </w:trPr>
        <w:tc>
          <w:tcPr>
            <w:tcW w:w="1805" w:type="dxa"/>
            <w:tcBorders>
              <w:bottom w:val="nil"/>
            </w:tcBorders>
            <w:shd w:val="clear" w:color="auto" w:fill="7030A0"/>
            <w:vAlign w:val="center"/>
          </w:tcPr>
          <w:p w14:paraId="537B99AA" w14:textId="5A8B5969" w:rsidR="00033A5B" w:rsidRPr="00AB6D75" w:rsidRDefault="00033A5B" w:rsidP="00001F89">
            <w:pPr>
              <w:pStyle w:val="Heading1"/>
              <w:rPr>
                <w:rFonts w:ascii="Arial" w:eastAsia="Times New Roman" w:hAnsi="Arial" w:cs="Arial"/>
                <w:b/>
                <w:color w:val="FFFFFF" w:themeColor="background1"/>
              </w:rPr>
            </w:pPr>
            <w:r w:rsidRPr="00AB6D75">
              <w:rPr>
                <w:rFonts w:ascii="Arial" w:eastAsia="Times New Roman" w:hAnsi="Arial" w:cs="Arial"/>
                <w:b/>
                <w:color w:val="FFFFFF" w:themeColor="background1"/>
              </w:rPr>
              <w:t>Organisational process 2</w:t>
            </w:r>
          </w:p>
          <w:p w14:paraId="58B436BD" w14:textId="06E67DFA" w:rsidR="00033A5B" w:rsidRPr="00AB6D75" w:rsidRDefault="00033A5B" w:rsidP="00001F89">
            <w:pPr>
              <w:pStyle w:val="Heading1"/>
              <w:rPr>
                <w:rFonts w:ascii="Arial" w:eastAsia="Times New Roman" w:hAnsi="Arial" w:cs="Arial"/>
                <w:b/>
                <w:color w:val="FFFFFF" w:themeColor="background1"/>
              </w:rPr>
            </w:pPr>
            <w:r w:rsidRPr="00AB6D75">
              <w:rPr>
                <w:rFonts w:ascii="Arial" w:eastAsia="Times New Roman" w:hAnsi="Arial" w:cs="Arial"/>
                <w:b/>
                <w:color w:val="FFFFFF" w:themeColor="background1"/>
              </w:rPr>
              <w:t>Accountability and scrutiny</w:t>
            </w:r>
          </w:p>
          <w:p w14:paraId="383DDB72" w14:textId="77777777" w:rsidR="00CF5683" w:rsidRPr="00AB6D75" w:rsidRDefault="00CF5683" w:rsidP="00001F89">
            <w:pPr>
              <w:pStyle w:val="Heading1"/>
              <w:rPr>
                <w:rFonts w:ascii="Arial" w:hAnsi="Arial" w:cs="Arial"/>
                <w:bCs/>
                <w:color w:val="FFFFFF" w:themeColor="background1"/>
              </w:rPr>
            </w:pPr>
          </w:p>
          <w:p w14:paraId="14977D56" w14:textId="73FFD290" w:rsidR="00033A5B" w:rsidRPr="00AB6D75" w:rsidRDefault="00033A5B" w:rsidP="00AB6D75">
            <w:pPr>
              <w:pStyle w:val="Heading1"/>
              <w:rPr>
                <w:rFonts w:ascii="Arial" w:hAnsi="Arial" w:cs="Arial"/>
                <w:bCs/>
                <w:color w:val="FFFFFF" w:themeColor="background1"/>
              </w:rPr>
            </w:pPr>
          </w:p>
        </w:tc>
        <w:tc>
          <w:tcPr>
            <w:tcW w:w="4615" w:type="dxa"/>
            <w:tcBorders>
              <w:bottom w:val="nil"/>
            </w:tcBorders>
            <w:shd w:val="clear" w:color="auto" w:fill="7030A0"/>
            <w:vAlign w:val="center"/>
          </w:tcPr>
          <w:p w14:paraId="12B01381" w14:textId="77777777" w:rsidR="00CF5683" w:rsidRPr="00AB6D75" w:rsidRDefault="00CF5683" w:rsidP="00AB6D75">
            <w:pPr>
              <w:pStyle w:val="Heading1"/>
              <w:rPr>
                <w:rFonts w:ascii="Arial" w:hAnsi="Arial" w:cs="Arial"/>
                <w:bCs/>
                <w:color w:val="FFFFFF" w:themeColor="background1"/>
              </w:rPr>
            </w:pPr>
            <w:r w:rsidRPr="00AB6D75">
              <w:rPr>
                <w:rFonts w:ascii="Arial" w:hAnsi="Arial" w:cs="Arial"/>
                <w:bCs/>
                <w:iCs/>
                <w:color w:val="FFFFFF" w:themeColor="background1"/>
              </w:rPr>
              <w:t>Getting started</w:t>
            </w:r>
          </w:p>
        </w:tc>
        <w:tc>
          <w:tcPr>
            <w:tcW w:w="3073" w:type="dxa"/>
            <w:tcBorders>
              <w:bottom w:val="nil"/>
            </w:tcBorders>
            <w:shd w:val="clear" w:color="auto" w:fill="7030A0"/>
            <w:vAlign w:val="center"/>
          </w:tcPr>
          <w:p w14:paraId="07E8E561" w14:textId="77777777" w:rsidR="00CF5683" w:rsidRPr="00AB6D75" w:rsidRDefault="00CF5683" w:rsidP="00AB6D75">
            <w:pPr>
              <w:pStyle w:val="Heading1"/>
              <w:rPr>
                <w:rFonts w:ascii="Arial" w:hAnsi="Arial" w:cs="Arial"/>
                <w:bCs/>
                <w:iCs/>
                <w:color w:val="FFFFFF" w:themeColor="background1"/>
              </w:rPr>
            </w:pPr>
            <w:r w:rsidRPr="00AB6D75">
              <w:rPr>
                <w:rFonts w:ascii="Arial" w:hAnsi="Arial" w:cs="Arial"/>
                <w:bCs/>
                <w:iCs/>
                <w:color w:val="FFFFFF" w:themeColor="background1"/>
              </w:rPr>
              <w:t>Early progress</w:t>
            </w:r>
          </w:p>
        </w:tc>
        <w:tc>
          <w:tcPr>
            <w:tcW w:w="3471" w:type="dxa"/>
            <w:tcBorders>
              <w:bottom w:val="nil"/>
            </w:tcBorders>
            <w:shd w:val="clear" w:color="auto" w:fill="7030A0"/>
            <w:vAlign w:val="center"/>
          </w:tcPr>
          <w:p w14:paraId="0CB45F7B" w14:textId="77777777" w:rsidR="00CF5683" w:rsidRPr="00AB6D75" w:rsidRDefault="00CF5683" w:rsidP="00AB6D75">
            <w:pPr>
              <w:pStyle w:val="Heading1"/>
              <w:rPr>
                <w:rFonts w:ascii="Arial" w:hAnsi="Arial" w:cs="Arial"/>
                <w:bCs/>
                <w:iCs/>
                <w:color w:val="FFFFFF" w:themeColor="background1"/>
              </w:rPr>
            </w:pPr>
            <w:r w:rsidRPr="00AB6D75">
              <w:rPr>
                <w:rFonts w:ascii="Arial" w:hAnsi="Arial" w:cs="Arial"/>
                <w:bCs/>
                <w:strike/>
                <w:color w:val="FFFFFF" w:themeColor="background1"/>
              </w:rPr>
              <w:t>Fi</w:t>
            </w:r>
            <w:r w:rsidRPr="00AB6D75">
              <w:rPr>
                <w:rFonts w:ascii="Arial" w:hAnsi="Arial" w:cs="Arial"/>
                <w:bCs/>
                <w:iCs/>
                <w:color w:val="FFFFFF" w:themeColor="background1"/>
              </w:rPr>
              <w:t>rm progress</w:t>
            </w:r>
          </w:p>
        </w:tc>
        <w:tc>
          <w:tcPr>
            <w:tcW w:w="2624" w:type="dxa"/>
            <w:tcBorders>
              <w:bottom w:val="nil"/>
            </w:tcBorders>
            <w:shd w:val="clear" w:color="auto" w:fill="7030A0"/>
            <w:vAlign w:val="center"/>
          </w:tcPr>
          <w:p w14:paraId="7EBFAFB9" w14:textId="77777777" w:rsidR="00CF5683" w:rsidRPr="00AB6D75" w:rsidRDefault="00CF5683" w:rsidP="00AB6D75">
            <w:pPr>
              <w:pStyle w:val="Heading1"/>
              <w:rPr>
                <w:rFonts w:ascii="Arial" w:hAnsi="Arial" w:cs="Arial"/>
                <w:bCs/>
                <w:iCs/>
                <w:color w:val="FFFFFF" w:themeColor="background1"/>
              </w:rPr>
            </w:pPr>
            <w:r w:rsidRPr="00AB6D75">
              <w:rPr>
                <w:rFonts w:ascii="Arial" w:hAnsi="Arial" w:cs="Arial"/>
                <w:bCs/>
                <w:iCs/>
                <w:color w:val="FFFFFF" w:themeColor="background1"/>
              </w:rPr>
              <w:t>Advanced progress</w:t>
            </w:r>
          </w:p>
        </w:tc>
      </w:tr>
      <w:tr w:rsidR="00AB6D75" w:rsidRPr="00926F24" w14:paraId="2928E1D6" w14:textId="77777777" w:rsidTr="00AB6D75">
        <w:trPr>
          <w:trHeight w:val="325"/>
        </w:trPr>
        <w:tc>
          <w:tcPr>
            <w:tcW w:w="1805" w:type="dxa"/>
            <w:tcBorders>
              <w:top w:val="nil"/>
              <w:bottom w:val="single" w:sz="4" w:space="0" w:color="auto"/>
            </w:tcBorders>
            <w:shd w:val="clear" w:color="auto" w:fill="DBDBDB" w:themeFill="accent3" w:themeFillTint="66"/>
            <w:vAlign w:val="center"/>
          </w:tcPr>
          <w:p w14:paraId="1A9BD1BA" w14:textId="77777777" w:rsidR="00CF5683" w:rsidRPr="00330077" w:rsidRDefault="00CF5683" w:rsidP="00330077">
            <w:pPr>
              <w:pStyle w:val="NormalWeb"/>
              <w:jc w:val="center"/>
              <w:rPr>
                <w:rFonts w:asciiTheme="minorHAnsi" w:hAnsiTheme="minorHAnsi" w:cstheme="minorHAnsi"/>
                <w:b/>
                <w:bCs/>
                <w:sz w:val="22"/>
                <w:szCs w:val="22"/>
              </w:rPr>
            </w:pPr>
          </w:p>
        </w:tc>
        <w:tc>
          <w:tcPr>
            <w:tcW w:w="4615" w:type="dxa"/>
            <w:tcBorders>
              <w:top w:val="nil"/>
            </w:tcBorders>
            <w:shd w:val="clear" w:color="auto" w:fill="DBDBDB" w:themeFill="accent3" w:themeFillTint="66"/>
            <w:vAlign w:val="center"/>
          </w:tcPr>
          <w:p w14:paraId="66C989DC" w14:textId="77777777" w:rsidR="00CF5683" w:rsidRPr="00AB6D75" w:rsidRDefault="00CF5683" w:rsidP="00330077">
            <w:pPr>
              <w:pStyle w:val="NormalWeb"/>
              <w:jc w:val="center"/>
              <w:rPr>
                <w:rFonts w:ascii="Arial" w:hAnsi="Arial" w:cs="Arial"/>
                <w:b/>
                <w:bCs/>
                <w:sz w:val="32"/>
                <w:szCs w:val="32"/>
              </w:rPr>
            </w:pPr>
            <w:r w:rsidRPr="00AB6D75">
              <w:rPr>
                <w:rFonts w:ascii="Arial" w:hAnsi="Arial" w:cs="Arial"/>
                <w:b/>
                <w:bCs/>
                <w:sz w:val="32"/>
                <w:szCs w:val="32"/>
              </w:rPr>
              <w:t>1</w:t>
            </w:r>
          </w:p>
        </w:tc>
        <w:tc>
          <w:tcPr>
            <w:tcW w:w="3073" w:type="dxa"/>
            <w:tcBorders>
              <w:top w:val="nil"/>
            </w:tcBorders>
            <w:shd w:val="clear" w:color="auto" w:fill="DBDBDB" w:themeFill="accent3" w:themeFillTint="66"/>
            <w:vAlign w:val="center"/>
          </w:tcPr>
          <w:p w14:paraId="5CBAAD17" w14:textId="77777777" w:rsidR="00CF5683" w:rsidRPr="00AB6D75" w:rsidRDefault="00CF5683" w:rsidP="00330077">
            <w:pPr>
              <w:pStyle w:val="NormalWeb"/>
              <w:jc w:val="center"/>
              <w:rPr>
                <w:rFonts w:ascii="Arial" w:hAnsi="Arial" w:cs="Arial"/>
                <w:b/>
                <w:bCs/>
                <w:sz w:val="32"/>
                <w:szCs w:val="32"/>
              </w:rPr>
            </w:pPr>
            <w:r w:rsidRPr="00AB6D75">
              <w:rPr>
                <w:rFonts w:ascii="Arial" w:hAnsi="Arial" w:cs="Arial"/>
                <w:b/>
                <w:bCs/>
                <w:sz w:val="32"/>
                <w:szCs w:val="32"/>
              </w:rPr>
              <w:t>2</w:t>
            </w:r>
          </w:p>
        </w:tc>
        <w:tc>
          <w:tcPr>
            <w:tcW w:w="3471" w:type="dxa"/>
            <w:tcBorders>
              <w:top w:val="nil"/>
            </w:tcBorders>
            <w:shd w:val="clear" w:color="auto" w:fill="DBDBDB" w:themeFill="accent3" w:themeFillTint="66"/>
            <w:vAlign w:val="center"/>
          </w:tcPr>
          <w:p w14:paraId="008F21FA" w14:textId="77777777" w:rsidR="00CF5683" w:rsidRPr="00AB6D75" w:rsidRDefault="00CF5683" w:rsidP="00330077">
            <w:pPr>
              <w:pStyle w:val="NormalWeb"/>
              <w:jc w:val="center"/>
              <w:rPr>
                <w:rFonts w:ascii="Arial" w:hAnsi="Arial" w:cs="Arial"/>
                <w:b/>
                <w:bCs/>
                <w:sz w:val="32"/>
                <w:szCs w:val="32"/>
              </w:rPr>
            </w:pPr>
            <w:r w:rsidRPr="00AB6D75">
              <w:rPr>
                <w:rFonts w:ascii="Arial" w:hAnsi="Arial" w:cs="Arial"/>
                <w:b/>
                <w:bCs/>
                <w:sz w:val="32"/>
                <w:szCs w:val="32"/>
              </w:rPr>
              <w:t>3</w:t>
            </w:r>
          </w:p>
        </w:tc>
        <w:tc>
          <w:tcPr>
            <w:tcW w:w="2624" w:type="dxa"/>
            <w:tcBorders>
              <w:top w:val="nil"/>
            </w:tcBorders>
            <w:shd w:val="clear" w:color="auto" w:fill="DBDBDB" w:themeFill="accent3" w:themeFillTint="66"/>
            <w:vAlign w:val="center"/>
          </w:tcPr>
          <w:p w14:paraId="0E172666" w14:textId="77777777" w:rsidR="00CF5683" w:rsidRPr="00AB6D75" w:rsidRDefault="00CF5683" w:rsidP="00330077">
            <w:pPr>
              <w:pStyle w:val="NormalWeb"/>
              <w:jc w:val="center"/>
              <w:rPr>
                <w:rFonts w:ascii="Arial" w:hAnsi="Arial" w:cs="Arial"/>
                <w:b/>
                <w:bCs/>
                <w:sz w:val="32"/>
                <w:szCs w:val="32"/>
              </w:rPr>
            </w:pPr>
            <w:r w:rsidRPr="00AB6D75">
              <w:rPr>
                <w:rFonts w:ascii="Arial" w:hAnsi="Arial" w:cs="Arial"/>
                <w:b/>
                <w:bCs/>
                <w:sz w:val="32"/>
                <w:szCs w:val="32"/>
              </w:rPr>
              <w:t>4</w:t>
            </w:r>
          </w:p>
        </w:tc>
      </w:tr>
      <w:tr w:rsidR="00AB6D75" w:rsidRPr="00AB6D75" w14:paraId="5F47F9B8" w14:textId="77777777" w:rsidTr="00AB6D75">
        <w:trPr>
          <w:trHeight w:val="1015"/>
        </w:trPr>
        <w:tc>
          <w:tcPr>
            <w:tcW w:w="1805" w:type="dxa"/>
            <w:shd w:val="clear" w:color="auto" w:fill="DBDBDB" w:themeFill="accent3" w:themeFillTint="66"/>
          </w:tcPr>
          <w:p w14:paraId="21DE9B7D" w14:textId="3F87ABA6" w:rsidR="00033A5B" w:rsidRPr="00AB6D75" w:rsidRDefault="00033A5B" w:rsidP="00330077">
            <w:pPr>
              <w:pStyle w:val="Pa6"/>
              <w:spacing w:after="220"/>
              <w:rPr>
                <w:rFonts w:ascii="Arial" w:hAnsi="Arial" w:cs="Arial"/>
                <w:b/>
                <w:color w:val="000000"/>
              </w:rPr>
            </w:pPr>
            <w:r w:rsidRPr="00AB6D75">
              <w:rPr>
                <w:rFonts w:ascii="Arial" w:hAnsi="Arial" w:cs="Arial"/>
                <w:b/>
                <w:color w:val="000000"/>
              </w:rPr>
              <w:t xml:space="preserve">Ultimately, responsibility for complying with the Duty sits with the individual public body, subject to its arrangements for internal delegation of functions to cabinets, boards, committees or officers. </w:t>
            </w:r>
          </w:p>
          <w:p w14:paraId="13B6C29F" w14:textId="77777777" w:rsidR="00033A5B" w:rsidRPr="00AB6D75" w:rsidRDefault="00033A5B" w:rsidP="00330077">
            <w:pPr>
              <w:pStyle w:val="Default"/>
              <w:rPr>
                <w:rFonts w:ascii="Arial" w:hAnsi="Arial" w:cs="Arial"/>
              </w:rPr>
            </w:pPr>
          </w:p>
          <w:p w14:paraId="206C985D" w14:textId="05ABE1CD" w:rsidR="00033A5B" w:rsidRPr="00AB6D75" w:rsidRDefault="00033A5B" w:rsidP="00330077">
            <w:pPr>
              <w:spacing w:before="100" w:beforeAutospacing="1" w:after="100" w:afterAutospacing="1"/>
              <w:rPr>
                <w:rFonts w:ascii="Arial" w:hAnsi="Arial" w:cs="Arial"/>
                <w:b/>
                <w:bCs/>
                <w:iCs/>
              </w:rPr>
            </w:pPr>
          </w:p>
        </w:tc>
        <w:tc>
          <w:tcPr>
            <w:tcW w:w="4615" w:type="dxa"/>
          </w:tcPr>
          <w:p w14:paraId="4F9370C8" w14:textId="191D5643" w:rsidR="0090431F" w:rsidRPr="00AB6D75" w:rsidRDefault="00C7423E" w:rsidP="00330077">
            <w:pPr>
              <w:spacing w:before="100" w:beforeAutospacing="1" w:after="100" w:afterAutospacing="1"/>
              <w:rPr>
                <w:rFonts w:ascii="Arial" w:hAnsi="Arial" w:cs="Arial"/>
                <w:bCs/>
              </w:rPr>
            </w:pPr>
            <w:r w:rsidRPr="00AB6D75">
              <w:rPr>
                <w:rFonts w:ascii="Arial" w:hAnsi="Arial" w:cs="Arial"/>
                <w:bCs/>
              </w:rPr>
              <w:t>Leaders</w:t>
            </w:r>
            <w:r w:rsidR="00A73028" w:rsidRPr="00AB6D75">
              <w:rPr>
                <w:rFonts w:ascii="Arial" w:hAnsi="Arial" w:cs="Arial"/>
                <w:bCs/>
              </w:rPr>
              <w:t xml:space="preserve"> including B</w:t>
            </w:r>
            <w:r w:rsidRPr="00AB6D75">
              <w:rPr>
                <w:rFonts w:ascii="Arial" w:hAnsi="Arial" w:cs="Arial"/>
                <w:bCs/>
              </w:rPr>
              <w:t xml:space="preserve">oard members, committee </w:t>
            </w:r>
            <w:r w:rsidR="00926F24" w:rsidRPr="00AB6D75">
              <w:rPr>
                <w:rFonts w:ascii="Arial" w:hAnsi="Arial" w:cs="Arial"/>
                <w:bCs/>
              </w:rPr>
              <w:t xml:space="preserve">members, risk and </w:t>
            </w:r>
            <w:r w:rsidRPr="00AB6D75">
              <w:rPr>
                <w:rFonts w:ascii="Arial" w:hAnsi="Arial" w:cs="Arial"/>
                <w:bCs/>
              </w:rPr>
              <w:t>governance leads understand the requirements of the Socio-economic Duty and the</w:t>
            </w:r>
            <w:r w:rsidR="008738E0" w:rsidRPr="00AB6D75">
              <w:rPr>
                <w:rFonts w:ascii="Arial" w:hAnsi="Arial" w:cs="Arial"/>
                <w:bCs/>
              </w:rPr>
              <w:t>i</w:t>
            </w:r>
            <w:r w:rsidRPr="00AB6D75">
              <w:rPr>
                <w:rFonts w:ascii="Arial" w:hAnsi="Arial" w:cs="Arial"/>
                <w:bCs/>
              </w:rPr>
              <w:t>r role in ensuring that due regard has been given to reducing inequalities result</w:t>
            </w:r>
            <w:r w:rsidR="00893E3B" w:rsidRPr="00AB6D75">
              <w:rPr>
                <w:rFonts w:ascii="Arial" w:hAnsi="Arial" w:cs="Arial"/>
                <w:bCs/>
              </w:rPr>
              <w:t>ing</w:t>
            </w:r>
            <w:r w:rsidRPr="00AB6D75">
              <w:rPr>
                <w:rFonts w:ascii="Arial" w:hAnsi="Arial" w:cs="Arial"/>
                <w:bCs/>
              </w:rPr>
              <w:t xml:space="preserve"> </w:t>
            </w:r>
            <w:r w:rsidR="00893E3B" w:rsidRPr="00AB6D75">
              <w:rPr>
                <w:rFonts w:ascii="Arial" w:hAnsi="Arial" w:cs="Arial"/>
                <w:bCs/>
              </w:rPr>
              <w:t>from</w:t>
            </w:r>
            <w:r w:rsidRPr="00AB6D75">
              <w:rPr>
                <w:rFonts w:ascii="Arial" w:hAnsi="Arial" w:cs="Arial"/>
                <w:bCs/>
              </w:rPr>
              <w:t xml:space="preserve"> socio-economic disadvantage</w:t>
            </w:r>
            <w:r w:rsidR="00893E3B" w:rsidRPr="00AB6D75">
              <w:rPr>
                <w:rFonts w:ascii="Arial" w:hAnsi="Arial" w:cs="Arial"/>
                <w:bCs/>
              </w:rPr>
              <w:t>, when taking strategic decisions.</w:t>
            </w:r>
          </w:p>
          <w:p w14:paraId="04C4C968" w14:textId="77777777" w:rsidR="00926F24" w:rsidRPr="00AB6D75" w:rsidRDefault="00926F24" w:rsidP="00330077">
            <w:pPr>
              <w:pStyle w:val="Pa10"/>
              <w:spacing w:after="160"/>
              <w:rPr>
                <w:rFonts w:ascii="Arial" w:hAnsi="Arial" w:cs="Arial"/>
                <w:color w:val="000000"/>
              </w:rPr>
            </w:pPr>
            <w:r w:rsidRPr="00AB6D75">
              <w:rPr>
                <w:rFonts w:ascii="Arial" w:hAnsi="Arial" w:cs="Arial"/>
                <w:color w:val="000000"/>
              </w:rPr>
              <w:t xml:space="preserve">Decision makers within public bodies </w:t>
            </w:r>
            <w:r w:rsidRPr="00AB6D75">
              <w:rPr>
                <w:rFonts w:ascii="Arial" w:hAnsi="Arial" w:cs="Arial"/>
                <w:b/>
                <w:bCs/>
                <w:color w:val="000000"/>
              </w:rPr>
              <w:t xml:space="preserve">must </w:t>
            </w:r>
            <w:r w:rsidRPr="00AB6D75">
              <w:rPr>
                <w:rFonts w:ascii="Arial" w:hAnsi="Arial" w:cs="Arial"/>
                <w:color w:val="000000"/>
              </w:rPr>
              <w:t xml:space="preserve">be satisfied that the body has understood the evidence and likely impact, and has considered whether the policy can be changed to reduce inequality of outcome as a result of socio-economic disadvantage. </w:t>
            </w:r>
          </w:p>
          <w:p w14:paraId="7A721408" w14:textId="28C556D3" w:rsidR="0090431F" w:rsidRPr="00AB6D75" w:rsidRDefault="0090431F" w:rsidP="00330077">
            <w:pPr>
              <w:spacing w:before="100" w:beforeAutospacing="1" w:after="100" w:afterAutospacing="1"/>
              <w:rPr>
                <w:rFonts w:ascii="Arial" w:hAnsi="Arial" w:cs="Arial"/>
                <w:bCs/>
              </w:rPr>
            </w:pPr>
            <w:r w:rsidRPr="00AB6D75">
              <w:rPr>
                <w:rFonts w:ascii="Arial" w:hAnsi="Arial" w:cs="Arial"/>
                <w:bCs/>
              </w:rPr>
              <w:t xml:space="preserve">A senior champion for the Socio-economic Duty is appointed </w:t>
            </w:r>
          </w:p>
          <w:p w14:paraId="509E5C9F" w14:textId="0CABFB72" w:rsidR="00A10FAF" w:rsidRPr="00AB6D75" w:rsidRDefault="00926F24" w:rsidP="00330077">
            <w:pPr>
              <w:spacing w:before="100" w:beforeAutospacing="1" w:after="100" w:afterAutospacing="1"/>
              <w:rPr>
                <w:rFonts w:ascii="Arial" w:hAnsi="Arial" w:cs="Arial"/>
                <w:bCs/>
              </w:rPr>
            </w:pPr>
            <w:r w:rsidRPr="00AB6D75">
              <w:rPr>
                <w:rFonts w:ascii="Arial" w:hAnsi="Arial" w:cs="Arial"/>
                <w:bCs/>
              </w:rPr>
              <w:t>Please</w:t>
            </w:r>
            <w:r w:rsidR="00A10FAF" w:rsidRPr="00AB6D75">
              <w:rPr>
                <w:rFonts w:ascii="Arial" w:hAnsi="Arial" w:cs="Arial"/>
                <w:bCs/>
              </w:rPr>
              <w:t xml:space="preserve"> access the film for public body leaders</w:t>
            </w:r>
            <w:r w:rsidR="00A10FAF" w:rsidRPr="00AB6D75">
              <w:rPr>
                <w:rFonts w:ascii="Arial" w:hAnsi="Arial" w:cs="Arial"/>
              </w:rPr>
              <w:t xml:space="preserve"> </w:t>
            </w:r>
            <w:hyperlink r:id="rId16" w:history="1">
              <w:r w:rsidR="00EC5437">
                <w:rPr>
                  <w:rStyle w:val="Hyperlink"/>
                  <w:rFonts w:ascii="Arial" w:hAnsi="Arial" w:cs="Arial"/>
                  <w:bCs/>
                </w:rPr>
                <w:t>here</w:t>
              </w:r>
            </w:hyperlink>
          </w:p>
          <w:p w14:paraId="4999B6F5" w14:textId="77777777" w:rsidR="00893E3B" w:rsidRPr="00AB6D75" w:rsidRDefault="00893E3B" w:rsidP="00330077">
            <w:pPr>
              <w:spacing w:before="100" w:beforeAutospacing="1" w:after="100" w:afterAutospacing="1"/>
              <w:rPr>
                <w:rFonts w:ascii="Arial" w:hAnsi="Arial" w:cs="Arial"/>
                <w:bCs/>
              </w:rPr>
            </w:pPr>
          </w:p>
          <w:p w14:paraId="011DD9CE" w14:textId="1348167D" w:rsidR="0090431F" w:rsidRPr="00AB6D75" w:rsidRDefault="0090431F" w:rsidP="00330077">
            <w:pPr>
              <w:spacing w:before="100" w:beforeAutospacing="1" w:after="100" w:afterAutospacing="1"/>
              <w:rPr>
                <w:rFonts w:ascii="Arial" w:hAnsi="Arial" w:cs="Arial"/>
                <w:bCs/>
              </w:rPr>
            </w:pPr>
          </w:p>
        </w:tc>
        <w:tc>
          <w:tcPr>
            <w:tcW w:w="3073" w:type="dxa"/>
          </w:tcPr>
          <w:p w14:paraId="7D1F1222" w14:textId="25E8A5AF" w:rsidR="0090431F" w:rsidRPr="00AB6D75" w:rsidRDefault="0090431F" w:rsidP="00330077">
            <w:pPr>
              <w:pStyle w:val="NoSpacing"/>
              <w:rPr>
                <w:rFonts w:ascii="Arial" w:hAnsi="Arial" w:cs="Arial"/>
              </w:rPr>
            </w:pPr>
            <w:r w:rsidRPr="00AB6D75">
              <w:rPr>
                <w:rFonts w:ascii="Arial" w:hAnsi="Arial" w:cs="Arial"/>
              </w:rPr>
              <w:t>Papers</w:t>
            </w:r>
            <w:r w:rsidR="00A73028" w:rsidRPr="00AB6D75">
              <w:rPr>
                <w:rFonts w:ascii="Arial" w:hAnsi="Arial" w:cs="Arial"/>
              </w:rPr>
              <w:t xml:space="preserve"> presented to the B</w:t>
            </w:r>
            <w:r w:rsidRPr="00AB6D75">
              <w:rPr>
                <w:rFonts w:ascii="Arial" w:hAnsi="Arial" w:cs="Arial"/>
              </w:rPr>
              <w:t>oard have consideration for the Socio-economic Duty and include an impact assessment.</w:t>
            </w:r>
          </w:p>
          <w:p w14:paraId="32837CE9" w14:textId="795BD3B4" w:rsidR="0090431F" w:rsidRPr="00AB6D75" w:rsidRDefault="0090431F" w:rsidP="00330077">
            <w:pPr>
              <w:pStyle w:val="NoSpacing"/>
              <w:rPr>
                <w:rFonts w:ascii="Arial" w:hAnsi="Arial" w:cs="Arial"/>
              </w:rPr>
            </w:pPr>
          </w:p>
          <w:p w14:paraId="53F907C0" w14:textId="343DCBFB" w:rsidR="00C7423E" w:rsidRPr="00AB6D75" w:rsidRDefault="00C7423E" w:rsidP="00330077">
            <w:pPr>
              <w:pStyle w:val="NoSpacing"/>
              <w:rPr>
                <w:rFonts w:ascii="Arial" w:hAnsi="Arial" w:cs="Arial"/>
              </w:rPr>
            </w:pPr>
            <w:r w:rsidRPr="00AB6D75">
              <w:rPr>
                <w:rFonts w:ascii="Arial" w:hAnsi="Arial" w:cs="Arial"/>
              </w:rPr>
              <w:t>Leaders</w:t>
            </w:r>
            <w:r w:rsidR="00A73028" w:rsidRPr="00AB6D75">
              <w:rPr>
                <w:rFonts w:ascii="Arial" w:hAnsi="Arial" w:cs="Arial"/>
              </w:rPr>
              <w:t xml:space="preserve"> including B</w:t>
            </w:r>
            <w:r w:rsidRPr="00AB6D75">
              <w:rPr>
                <w:rFonts w:ascii="Arial" w:hAnsi="Arial" w:cs="Arial"/>
              </w:rPr>
              <w:t>oard members, committee members and governance leads;</w:t>
            </w:r>
          </w:p>
          <w:p w14:paraId="2803BABD" w14:textId="6D4A608B" w:rsidR="00CF5683" w:rsidRPr="00AB6D75" w:rsidRDefault="00C7423E" w:rsidP="00330077">
            <w:pPr>
              <w:pStyle w:val="NoSpacing"/>
              <w:numPr>
                <w:ilvl w:val="0"/>
                <w:numId w:val="21"/>
              </w:numPr>
              <w:rPr>
                <w:rFonts w:ascii="Arial" w:hAnsi="Arial" w:cs="Arial"/>
              </w:rPr>
            </w:pPr>
            <w:r w:rsidRPr="00AB6D75">
              <w:rPr>
                <w:rFonts w:ascii="Arial" w:hAnsi="Arial" w:cs="Arial"/>
              </w:rPr>
              <w:t>Are provided with evidence that due regard has been given.</w:t>
            </w:r>
          </w:p>
          <w:p w14:paraId="5587B965" w14:textId="447103D9" w:rsidR="00C7423E" w:rsidRPr="00AB6D75" w:rsidRDefault="00C7423E" w:rsidP="00330077">
            <w:pPr>
              <w:pStyle w:val="NoSpacing"/>
              <w:numPr>
                <w:ilvl w:val="0"/>
                <w:numId w:val="21"/>
              </w:numPr>
              <w:rPr>
                <w:rFonts w:ascii="Arial" w:hAnsi="Arial" w:cs="Arial"/>
              </w:rPr>
            </w:pPr>
            <w:r w:rsidRPr="00AB6D75">
              <w:rPr>
                <w:rFonts w:ascii="Arial" w:hAnsi="Arial" w:cs="Arial"/>
              </w:rPr>
              <w:t>Sufficiently scrutinise evidence and proactively request additional information</w:t>
            </w:r>
            <w:r w:rsidR="008738E0" w:rsidRPr="00AB6D75">
              <w:rPr>
                <w:rFonts w:ascii="Arial" w:hAnsi="Arial" w:cs="Arial"/>
              </w:rPr>
              <w:t xml:space="preserve"> if required</w:t>
            </w:r>
            <w:r w:rsidRPr="00AB6D75">
              <w:rPr>
                <w:rFonts w:ascii="Arial" w:hAnsi="Arial" w:cs="Arial"/>
              </w:rPr>
              <w:t>.</w:t>
            </w:r>
          </w:p>
          <w:p w14:paraId="51DCE6BD" w14:textId="6494CFF2" w:rsidR="0090431F" w:rsidRPr="00AB6D75" w:rsidRDefault="0090431F" w:rsidP="00330077">
            <w:pPr>
              <w:pStyle w:val="NoSpacing"/>
              <w:rPr>
                <w:rFonts w:ascii="Arial" w:hAnsi="Arial" w:cs="Arial"/>
              </w:rPr>
            </w:pPr>
          </w:p>
          <w:p w14:paraId="08430127" w14:textId="26EAD883" w:rsidR="0060135D" w:rsidRPr="00AB6D75" w:rsidRDefault="0060135D" w:rsidP="0060135D">
            <w:pPr>
              <w:pStyle w:val="CommentText"/>
              <w:rPr>
                <w:rFonts w:ascii="Arial" w:hAnsi="Arial" w:cs="Arial"/>
                <w:sz w:val="24"/>
                <w:szCs w:val="24"/>
              </w:rPr>
            </w:pPr>
            <w:r w:rsidRPr="00AB6D75">
              <w:rPr>
                <w:rFonts w:ascii="Arial" w:hAnsi="Arial" w:cs="Arial"/>
                <w:sz w:val="24"/>
                <w:szCs w:val="24"/>
              </w:rPr>
              <w:t xml:space="preserve">Good record keeping practices are adopted so that decision-making processes are clear in the event of public or judicial scrutiny. </w:t>
            </w:r>
          </w:p>
          <w:p w14:paraId="06C595B0" w14:textId="2003C4F9" w:rsidR="00C7423E" w:rsidRPr="00AB6D75" w:rsidRDefault="00C7423E" w:rsidP="00330077">
            <w:pPr>
              <w:pStyle w:val="NoSpacing"/>
              <w:rPr>
                <w:rFonts w:ascii="Arial" w:hAnsi="Arial" w:cs="Arial"/>
              </w:rPr>
            </w:pPr>
          </w:p>
          <w:p w14:paraId="37BD51A0" w14:textId="188EA645" w:rsidR="00C7423E" w:rsidRPr="00AB6D75" w:rsidRDefault="00EC5437" w:rsidP="00330077">
            <w:pPr>
              <w:pStyle w:val="NormalWeb"/>
              <w:rPr>
                <w:rFonts w:ascii="Arial" w:hAnsi="Arial" w:cs="Arial"/>
                <w:bCs/>
              </w:rPr>
            </w:pPr>
            <w:r>
              <w:rPr>
                <w:rFonts w:ascii="Arial" w:hAnsi="Arial" w:cs="Arial"/>
                <w:bCs/>
              </w:rPr>
              <w:t xml:space="preserve">A </w:t>
            </w:r>
            <w:r w:rsidR="00A10FAF" w:rsidRPr="00AB6D75">
              <w:rPr>
                <w:rFonts w:ascii="Arial" w:hAnsi="Arial" w:cs="Arial"/>
                <w:bCs/>
              </w:rPr>
              <w:t>scrutiny framework document</w:t>
            </w:r>
            <w:r>
              <w:rPr>
                <w:rFonts w:ascii="Arial" w:hAnsi="Arial" w:cs="Arial"/>
                <w:bCs/>
              </w:rPr>
              <w:t xml:space="preserve"> can be found </w:t>
            </w:r>
            <w:hyperlink r:id="rId17" w:history="1">
              <w:r w:rsidRPr="00EC5437">
                <w:rPr>
                  <w:rStyle w:val="Hyperlink"/>
                  <w:rFonts w:ascii="Arial" w:hAnsi="Arial" w:cs="Arial"/>
                  <w:bCs/>
                </w:rPr>
                <w:t>here</w:t>
              </w:r>
            </w:hyperlink>
          </w:p>
          <w:p w14:paraId="71395D88" w14:textId="6BE127B6" w:rsidR="00893E3B" w:rsidRPr="00AB6D75" w:rsidRDefault="00893E3B" w:rsidP="00330077">
            <w:pPr>
              <w:pStyle w:val="NormalWeb"/>
              <w:rPr>
                <w:rFonts w:ascii="Arial" w:hAnsi="Arial" w:cs="Arial"/>
                <w:bCs/>
              </w:rPr>
            </w:pPr>
          </w:p>
        </w:tc>
        <w:tc>
          <w:tcPr>
            <w:tcW w:w="3471" w:type="dxa"/>
          </w:tcPr>
          <w:p w14:paraId="4740D045" w14:textId="23C23DFF" w:rsidR="0090431F" w:rsidRPr="00AB6D75" w:rsidRDefault="0090431F" w:rsidP="00330077">
            <w:pPr>
              <w:pStyle w:val="NoSpacing"/>
              <w:rPr>
                <w:rFonts w:ascii="Arial" w:hAnsi="Arial" w:cs="Arial"/>
              </w:rPr>
            </w:pPr>
            <w:r w:rsidRPr="00AB6D75">
              <w:rPr>
                <w:rFonts w:ascii="Arial" w:hAnsi="Arial" w:cs="Arial"/>
              </w:rPr>
              <w:t>Leaders</w:t>
            </w:r>
            <w:r w:rsidR="00A73028" w:rsidRPr="00AB6D75">
              <w:rPr>
                <w:rFonts w:ascii="Arial" w:hAnsi="Arial" w:cs="Arial"/>
              </w:rPr>
              <w:t xml:space="preserve"> including B</w:t>
            </w:r>
            <w:r w:rsidRPr="00AB6D75">
              <w:rPr>
                <w:rFonts w:ascii="Arial" w:hAnsi="Arial" w:cs="Arial"/>
              </w:rPr>
              <w:t>oard members, committee members and governance leads;</w:t>
            </w:r>
          </w:p>
          <w:p w14:paraId="0AD7F197" w14:textId="195BF3FE" w:rsidR="0090431F" w:rsidRPr="00AB6D75" w:rsidRDefault="0090431F" w:rsidP="00330077">
            <w:pPr>
              <w:pStyle w:val="NoSpacing"/>
              <w:rPr>
                <w:rFonts w:ascii="Arial" w:hAnsi="Arial" w:cs="Arial"/>
              </w:rPr>
            </w:pPr>
          </w:p>
          <w:p w14:paraId="1E3C3864" w14:textId="57D1A069" w:rsidR="0090431F" w:rsidRPr="00AB6D75" w:rsidRDefault="0090431F" w:rsidP="00330077">
            <w:pPr>
              <w:pStyle w:val="NoSpacing"/>
              <w:numPr>
                <w:ilvl w:val="0"/>
                <w:numId w:val="21"/>
              </w:numPr>
              <w:rPr>
                <w:rFonts w:ascii="Arial" w:hAnsi="Arial" w:cs="Arial"/>
              </w:rPr>
            </w:pPr>
            <w:r w:rsidRPr="00AB6D75">
              <w:rPr>
                <w:rFonts w:ascii="Arial" w:hAnsi="Arial" w:cs="Arial"/>
              </w:rPr>
              <w:t xml:space="preserve">Defer decision making where evidence regarding the impact of the decision, in relation to outcomes experienced by those who experience socio-economic disadvantage is insufficient. </w:t>
            </w:r>
          </w:p>
          <w:p w14:paraId="074C0CE7" w14:textId="0128DE49" w:rsidR="0090431F" w:rsidRPr="00AB6D75" w:rsidRDefault="0090431F" w:rsidP="00330077">
            <w:pPr>
              <w:pStyle w:val="NoSpacing"/>
              <w:numPr>
                <w:ilvl w:val="0"/>
                <w:numId w:val="21"/>
              </w:numPr>
              <w:rPr>
                <w:rFonts w:ascii="Arial" w:hAnsi="Arial" w:cs="Arial"/>
              </w:rPr>
            </w:pPr>
            <w:r w:rsidRPr="00AB6D75">
              <w:rPr>
                <w:rFonts w:ascii="Arial" w:hAnsi="Arial" w:cs="Arial"/>
              </w:rPr>
              <w:t xml:space="preserve">Recommend </w:t>
            </w:r>
            <w:r w:rsidR="008738E0" w:rsidRPr="00AB6D75">
              <w:rPr>
                <w:rFonts w:ascii="Arial" w:hAnsi="Arial" w:cs="Arial"/>
              </w:rPr>
              <w:t xml:space="preserve">appropriate </w:t>
            </w:r>
            <w:r w:rsidRPr="00AB6D75">
              <w:rPr>
                <w:rFonts w:ascii="Arial" w:hAnsi="Arial" w:cs="Arial"/>
              </w:rPr>
              <w:t xml:space="preserve">changes to the decision to improve outcomes for those who experience socio-economic disadvantage. </w:t>
            </w:r>
          </w:p>
          <w:p w14:paraId="77AC0B58" w14:textId="77777777" w:rsidR="0090431F" w:rsidRPr="00AB6D75" w:rsidRDefault="0090431F" w:rsidP="00330077">
            <w:pPr>
              <w:pStyle w:val="NoSpacing"/>
              <w:rPr>
                <w:rFonts w:ascii="Arial" w:hAnsi="Arial" w:cs="Arial"/>
              </w:rPr>
            </w:pPr>
          </w:p>
          <w:p w14:paraId="68711A53" w14:textId="77777777" w:rsidR="00EF602B" w:rsidRPr="00AB6D75" w:rsidRDefault="00EF602B" w:rsidP="00EF602B">
            <w:pPr>
              <w:pStyle w:val="NoSpacing"/>
              <w:rPr>
                <w:rFonts w:ascii="Arial" w:hAnsi="Arial" w:cs="Arial"/>
              </w:rPr>
            </w:pPr>
            <w:r w:rsidRPr="00AB6D75">
              <w:rPr>
                <w:rFonts w:ascii="Arial" w:hAnsi="Arial" w:cs="Arial"/>
              </w:rPr>
              <w:t>Internal audit includes compliance of the Socio-economic Duty.</w:t>
            </w:r>
          </w:p>
          <w:p w14:paraId="40C61A9D" w14:textId="77777777" w:rsidR="00CF5683" w:rsidRPr="00AB6D75" w:rsidRDefault="00CF5683" w:rsidP="00330077">
            <w:pPr>
              <w:pStyle w:val="NormalWeb"/>
              <w:jc w:val="center"/>
              <w:rPr>
                <w:rFonts w:ascii="Arial" w:hAnsi="Arial" w:cs="Arial"/>
                <w:bCs/>
              </w:rPr>
            </w:pPr>
          </w:p>
        </w:tc>
        <w:tc>
          <w:tcPr>
            <w:tcW w:w="2624" w:type="dxa"/>
          </w:tcPr>
          <w:p w14:paraId="2F3CF429" w14:textId="46E114B8" w:rsidR="00A10FAF" w:rsidRPr="00AB6D75" w:rsidRDefault="00A10FAF" w:rsidP="00330077">
            <w:pPr>
              <w:pStyle w:val="NoSpacing"/>
              <w:rPr>
                <w:rFonts w:ascii="Arial" w:hAnsi="Arial" w:cs="Arial"/>
              </w:rPr>
            </w:pPr>
            <w:r w:rsidRPr="00AB6D75">
              <w:rPr>
                <w:rFonts w:ascii="Arial" w:hAnsi="Arial" w:cs="Arial"/>
              </w:rPr>
              <w:t>Leaders</w:t>
            </w:r>
            <w:r w:rsidR="00A73028" w:rsidRPr="00AB6D75">
              <w:rPr>
                <w:rFonts w:ascii="Arial" w:hAnsi="Arial" w:cs="Arial"/>
              </w:rPr>
              <w:t xml:space="preserve"> including B</w:t>
            </w:r>
            <w:r w:rsidRPr="00AB6D75">
              <w:rPr>
                <w:rFonts w:ascii="Arial" w:hAnsi="Arial" w:cs="Arial"/>
              </w:rPr>
              <w:t>oard members, committee members and governance leads;</w:t>
            </w:r>
          </w:p>
          <w:p w14:paraId="6346249D" w14:textId="77777777" w:rsidR="00A10FAF" w:rsidRPr="00AB6D75" w:rsidRDefault="00A10FAF" w:rsidP="00330077">
            <w:pPr>
              <w:pStyle w:val="NoSpacing"/>
              <w:rPr>
                <w:rFonts w:ascii="Arial" w:hAnsi="Arial" w:cs="Arial"/>
              </w:rPr>
            </w:pPr>
          </w:p>
          <w:p w14:paraId="7D045CF9" w14:textId="5B468DA4" w:rsidR="00A10FAF" w:rsidRPr="00AB6D75" w:rsidRDefault="00A10FAF" w:rsidP="00330077">
            <w:pPr>
              <w:pStyle w:val="NoSpacing"/>
              <w:numPr>
                <w:ilvl w:val="0"/>
                <w:numId w:val="24"/>
              </w:numPr>
              <w:rPr>
                <w:rFonts w:ascii="Arial" w:hAnsi="Arial" w:cs="Arial"/>
              </w:rPr>
            </w:pPr>
            <w:r w:rsidRPr="00AB6D75">
              <w:rPr>
                <w:rFonts w:ascii="Arial" w:hAnsi="Arial" w:cs="Arial"/>
              </w:rPr>
              <w:t xml:space="preserve">Are </w:t>
            </w:r>
            <w:r w:rsidR="00A73028" w:rsidRPr="00AB6D75">
              <w:rPr>
                <w:rFonts w:ascii="Arial" w:hAnsi="Arial" w:cs="Arial"/>
              </w:rPr>
              <w:t xml:space="preserve">regularly </w:t>
            </w:r>
            <w:r w:rsidRPr="00AB6D75">
              <w:rPr>
                <w:rFonts w:ascii="Arial" w:hAnsi="Arial" w:cs="Arial"/>
              </w:rPr>
              <w:t>provided with information</w:t>
            </w:r>
            <w:r w:rsidR="00A73028" w:rsidRPr="00AB6D75">
              <w:rPr>
                <w:rFonts w:ascii="Arial" w:hAnsi="Arial" w:cs="Arial"/>
              </w:rPr>
              <w:t xml:space="preserve"> </w:t>
            </w:r>
            <w:r w:rsidRPr="00AB6D75">
              <w:rPr>
                <w:rFonts w:ascii="Arial" w:hAnsi="Arial" w:cs="Arial"/>
              </w:rPr>
              <w:t>regarding how the organisation is meeting the requirements of the Socio-economic Duty.</w:t>
            </w:r>
          </w:p>
          <w:p w14:paraId="3966B0C9" w14:textId="77777777" w:rsidR="00A10FAF" w:rsidRPr="00AB6D75" w:rsidRDefault="00A10FAF" w:rsidP="00330077">
            <w:pPr>
              <w:pStyle w:val="NoSpacing"/>
              <w:rPr>
                <w:rFonts w:ascii="Arial" w:hAnsi="Arial" w:cs="Arial"/>
              </w:rPr>
            </w:pPr>
          </w:p>
          <w:p w14:paraId="1B8095D2" w14:textId="415884EB" w:rsidR="00A10FAF" w:rsidRPr="00AB6D75" w:rsidRDefault="00A10FAF" w:rsidP="00330077">
            <w:pPr>
              <w:pStyle w:val="NoSpacing"/>
              <w:numPr>
                <w:ilvl w:val="0"/>
                <w:numId w:val="24"/>
              </w:numPr>
              <w:rPr>
                <w:rFonts w:ascii="Arial" w:hAnsi="Arial" w:cs="Arial"/>
              </w:rPr>
            </w:pPr>
            <w:r w:rsidRPr="00AB6D75">
              <w:rPr>
                <w:rFonts w:ascii="Arial" w:hAnsi="Arial" w:cs="Arial"/>
              </w:rPr>
              <w:t>Request and are provided with information regarding the on-going impact of all strategic decisions.</w:t>
            </w:r>
          </w:p>
          <w:p w14:paraId="3CACE8EC" w14:textId="77777777" w:rsidR="00A10FAF" w:rsidRPr="00AB6D75" w:rsidRDefault="00A10FAF" w:rsidP="00330077">
            <w:pPr>
              <w:pStyle w:val="NoSpacing"/>
              <w:rPr>
                <w:rFonts w:ascii="Arial" w:hAnsi="Arial" w:cs="Arial"/>
              </w:rPr>
            </w:pPr>
          </w:p>
          <w:p w14:paraId="6F89675E" w14:textId="054F627C" w:rsidR="00A10FAF" w:rsidRPr="00AB6D75" w:rsidRDefault="00A10FAF" w:rsidP="00330077">
            <w:pPr>
              <w:pStyle w:val="NoSpacing"/>
              <w:rPr>
                <w:rFonts w:ascii="Arial" w:hAnsi="Arial" w:cs="Arial"/>
              </w:rPr>
            </w:pPr>
          </w:p>
          <w:p w14:paraId="439068F1" w14:textId="1616BB6C" w:rsidR="00926F24" w:rsidRPr="00AB6D75" w:rsidRDefault="00926F24" w:rsidP="00330077">
            <w:pPr>
              <w:pStyle w:val="NoSpacing"/>
              <w:rPr>
                <w:rFonts w:ascii="Arial" w:hAnsi="Arial" w:cs="Arial"/>
              </w:rPr>
            </w:pPr>
          </w:p>
          <w:p w14:paraId="0120D7DC" w14:textId="1CC86725" w:rsidR="00926F24" w:rsidRPr="00AB6D75" w:rsidRDefault="00926F24" w:rsidP="00330077">
            <w:pPr>
              <w:pStyle w:val="NoSpacing"/>
              <w:rPr>
                <w:rFonts w:ascii="Arial" w:hAnsi="Arial" w:cs="Arial"/>
              </w:rPr>
            </w:pPr>
            <w:r w:rsidRPr="00AB6D75">
              <w:rPr>
                <w:rFonts w:ascii="Arial" w:hAnsi="Arial" w:cs="Arial"/>
              </w:rPr>
              <w:t>Stakeholder feedback is regularly invited.</w:t>
            </w:r>
          </w:p>
          <w:p w14:paraId="2FF84FA0" w14:textId="64138B75" w:rsidR="00A10FAF" w:rsidRPr="00AB6D75" w:rsidRDefault="00A10FAF" w:rsidP="00330077">
            <w:pPr>
              <w:pStyle w:val="NoSpacing"/>
              <w:rPr>
                <w:rFonts w:ascii="Arial" w:hAnsi="Arial" w:cs="Arial"/>
              </w:rPr>
            </w:pPr>
          </w:p>
          <w:p w14:paraId="5CD9FBA4" w14:textId="1277E700" w:rsidR="00A10FAF" w:rsidRPr="00AB6D75" w:rsidRDefault="00A10FAF" w:rsidP="00330077">
            <w:pPr>
              <w:pStyle w:val="NoSpacing"/>
              <w:rPr>
                <w:rFonts w:ascii="Arial" w:hAnsi="Arial" w:cs="Arial"/>
              </w:rPr>
            </w:pPr>
          </w:p>
          <w:p w14:paraId="0AF7CB89" w14:textId="77777777" w:rsidR="00CF5683" w:rsidRPr="00AB6D75" w:rsidRDefault="00CF5683" w:rsidP="00330077">
            <w:pPr>
              <w:pStyle w:val="NormalWeb"/>
              <w:jc w:val="center"/>
              <w:rPr>
                <w:rFonts w:ascii="Arial" w:hAnsi="Arial" w:cs="Arial"/>
                <w:bCs/>
              </w:rPr>
            </w:pPr>
          </w:p>
        </w:tc>
      </w:tr>
      <w:tr w:rsidR="00926F24" w:rsidRPr="00AB6D75" w14:paraId="0CED256A" w14:textId="77777777" w:rsidTr="00AB6D75">
        <w:trPr>
          <w:trHeight w:val="588"/>
        </w:trPr>
        <w:tc>
          <w:tcPr>
            <w:tcW w:w="1805" w:type="dxa"/>
            <w:shd w:val="clear" w:color="auto" w:fill="DBDBDB" w:themeFill="accent3" w:themeFillTint="66"/>
          </w:tcPr>
          <w:p w14:paraId="6743F576" w14:textId="77777777" w:rsidR="00CF5683" w:rsidRPr="00AB6D75" w:rsidRDefault="00CF5683" w:rsidP="00330077">
            <w:pPr>
              <w:pStyle w:val="NormalWeb"/>
              <w:spacing w:before="0" w:beforeAutospacing="0" w:after="0" w:afterAutospacing="0"/>
              <w:rPr>
                <w:rFonts w:ascii="Arial" w:hAnsi="Arial" w:cs="Arial"/>
                <w:b/>
                <w:bCs/>
                <w:iCs/>
              </w:rPr>
            </w:pPr>
            <w:r w:rsidRPr="00AB6D75">
              <w:rPr>
                <w:rFonts w:ascii="Arial" w:hAnsi="Arial" w:cs="Arial"/>
                <w:b/>
                <w:bCs/>
                <w:iCs/>
              </w:rPr>
              <w:t>Summary – your key points on the stage reached in the journey and future direction of travel</w:t>
            </w:r>
          </w:p>
        </w:tc>
        <w:tc>
          <w:tcPr>
            <w:tcW w:w="13783" w:type="dxa"/>
            <w:gridSpan w:val="4"/>
            <w:shd w:val="clear" w:color="auto" w:fill="auto"/>
          </w:tcPr>
          <w:p w14:paraId="352CA61B" w14:textId="77777777" w:rsidR="00CF5683" w:rsidRPr="00AB6D75" w:rsidRDefault="00CF5683" w:rsidP="00330077">
            <w:pPr>
              <w:rPr>
                <w:rFonts w:ascii="Arial" w:hAnsi="Arial" w:cs="Arial"/>
              </w:rPr>
            </w:pPr>
          </w:p>
        </w:tc>
      </w:tr>
    </w:tbl>
    <w:p w14:paraId="3599D7A0" w14:textId="77777777" w:rsidR="00CF5683" w:rsidRPr="00AB6D75" w:rsidRDefault="00CF5683" w:rsidP="00CF5683">
      <w:pPr>
        <w:tabs>
          <w:tab w:val="left" w:pos="403"/>
        </w:tabs>
        <w:rPr>
          <w:rFonts w:ascii="Arial" w:hAnsi="Arial" w:cs="Arial"/>
          <w:color w:val="000000" w:themeColor="text1"/>
        </w:rPr>
      </w:pPr>
    </w:p>
    <w:p w14:paraId="4B9A59E6" w14:textId="7B77AF15" w:rsidR="00CF5683" w:rsidRPr="00AB6D75" w:rsidRDefault="00CF5683" w:rsidP="00957E38">
      <w:pPr>
        <w:jc w:val="center"/>
        <w:rPr>
          <w:rFonts w:ascii="Arial" w:hAnsi="Arial" w:cs="Arial"/>
          <w:color w:val="000000" w:themeColor="text1"/>
        </w:rPr>
      </w:pPr>
    </w:p>
    <w:p w14:paraId="3984B35D" w14:textId="77777777" w:rsidR="00CF5683" w:rsidRPr="00AB6D75" w:rsidRDefault="00CF5683" w:rsidP="00957E38">
      <w:pPr>
        <w:jc w:val="center"/>
        <w:rPr>
          <w:rFonts w:ascii="Arial" w:hAnsi="Arial" w:cs="Arial"/>
          <w:color w:val="000000" w:themeColor="text1"/>
        </w:rPr>
      </w:pPr>
    </w:p>
    <w:p w14:paraId="07505524" w14:textId="77777777" w:rsidR="00D7306E" w:rsidRPr="00AB6D75" w:rsidRDefault="00D7306E" w:rsidP="00957E38">
      <w:pPr>
        <w:jc w:val="center"/>
        <w:rPr>
          <w:rFonts w:ascii="Arial" w:hAnsi="Arial" w:cs="Arial"/>
          <w:color w:val="000000" w:themeColor="text1"/>
        </w:rPr>
      </w:pPr>
    </w:p>
    <w:p w14:paraId="2FDF0611" w14:textId="77777777" w:rsidR="00D7306E" w:rsidRPr="00AB6D75" w:rsidRDefault="00D7306E" w:rsidP="00957E38">
      <w:pPr>
        <w:jc w:val="center"/>
        <w:rPr>
          <w:rFonts w:ascii="Arial" w:hAnsi="Arial" w:cs="Arial"/>
          <w:color w:val="000000" w:themeColor="text1"/>
        </w:rPr>
      </w:pPr>
    </w:p>
    <w:p w14:paraId="19F898AA" w14:textId="77777777" w:rsidR="00D7306E" w:rsidRPr="00AB6D75" w:rsidRDefault="00D7306E" w:rsidP="00957E38">
      <w:pPr>
        <w:jc w:val="center"/>
        <w:rPr>
          <w:rFonts w:ascii="Arial" w:hAnsi="Arial" w:cs="Arial"/>
          <w:color w:val="000000" w:themeColor="text1"/>
        </w:rPr>
      </w:pPr>
    </w:p>
    <w:p w14:paraId="7105671B" w14:textId="77777777" w:rsidR="00D7306E" w:rsidRPr="00AB6D75" w:rsidRDefault="00D7306E" w:rsidP="00957E38">
      <w:pPr>
        <w:jc w:val="center"/>
        <w:rPr>
          <w:rFonts w:ascii="Arial" w:hAnsi="Arial" w:cs="Arial"/>
          <w:color w:val="000000" w:themeColor="text1"/>
        </w:rPr>
      </w:pPr>
    </w:p>
    <w:p w14:paraId="77515D3C" w14:textId="77777777" w:rsidR="00D7306E" w:rsidRPr="00926F24" w:rsidRDefault="00D7306E" w:rsidP="00957E38">
      <w:pPr>
        <w:jc w:val="center"/>
        <w:rPr>
          <w:rFonts w:cstheme="minorHAnsi"/>
          <w:color w:val="000000" w:themeColor="text1"/>
          <w:sz w:val="16"/>
          <w:szCs w:val="16"/>
        </w:rPr>
      </w:pPr>
    </w:p>
    <w:p w14:paraId="0772AC54" w14:textId="77777777" w:rsidR="00D7306E" w:rsidRPr="00926F24" w:rsidRDefault="00D7306E" w:rsidP="00957E38">
      <w:pPr>
        <w:jc w:val="center"/>
        <w:rPr>
          <w:rFonts w:cstheme="minorHAnsi"/>
          <w:color w:val="000000" w:themeColor="text1"/>
          <w:sz w:val="16"/>
          <w:szCs w:val="16"/>
        </w:rPr>
      </w:pPr>
    </w:p>
    <w:p w14:paraId="5549CAC9" w14:textId="5B7D965F" w:rsidR="00D7306E" w:rsidRPr="00926F24" w:rsidRDefault="00CF5683" w:rsidP="00CF5683">
      <w:pPr>
        <w:tabs>
          <w:tab w:val="left" w:pos="249"/>
        </w:tabs>
        <w:rPr>
          <w:rFonts w:cstheme="minorHAnsi"/>
          <w:color w:val="000000" w:themeColor="text1"/>
          <w:sz w:val="16"/>
          <w:szCs w:val="16"/>
        </w:rPr>
      </w:pPr>
      <w:r w:rsidRPr="00926F24">
        <w:rPr>
          <w:rFonts w:cstheme="minorHAnsi"/>
          <w:color w:val="000000" w:themeColor="text1"/>
          <w:sz w:val="16"/>
          <w:szCs w:val="16"/>
        </w:rPr>
        <w:tab/>
      </w:r>
    </w:p>
    <w:p w14:paraId="7BFE983E" w14:textId="77777777" w:rsidR="00CF5683" w:rsidRDefault="00CF5683" w:rsidP="00CF5683">
      <w:pPr>
        <w:tabs>
          <w:tab w:val="left" w:pos="249"/>
        </w:tabs>
        <w:rPr>
          <w:rFonts w:ascii="Calibri" w:hAnsi="Calibri" w:cs="Calibri"/>
          <w:color w:val="000000" w:themeColor="text1"/>
        </w:rPr>
      </w:pPr>
    </w:p>
    <w:p w14:paraId="0AF56AAC" w14:textId="6EB2712A" w:rsidR="00D7306E" w:rsidRDefault="00D7306E" w:rsidP="00957E38">
      <w:pPr>
        <w:jc w:val="center"/>
        <w:rPr>
          <w:rFonts w:ascii="Calibri" w:hAnsi="Calibri" w:cs="Calibri"/>
          <w:color w:val="000000" w:themeColor="text1"/>
        </w:rPr>
      </w:pPr>
    </w:p>
    <w:p w14:paraId="4EAC4820" w14:textId="4257D4CF" w:rsidR="00CF5683" w:rsidRDefault="00CF5683" w:rsidP="00957E38">
      <w:pPr>
        <w:jc w:val="center"/>
        <w:rPr>
          <w:rFonts w:ascii="Calibri" w:hAnsi="Calibri" w:cs="Calibri"/>
          <w:color w:val="000000" w:themeColor="text1"/>
        </w:rPr>
      </w:pPr>
    </w:p>
    <w:p w14:paraId="3E8BD33B" w14:textId="15334398" w:rsidR="00CF5683" w:rsidRDefault="00CF5683" w:rsidP="00957E38">
      <w:pPr>
        <w:jc w:val="center"/>
        <w:rPr>
          <w:rFonts w:ascii="Calibri" w:hAnsi="Calibri" w:cs="Calibri"/>
          <w:color w:val="000000" w:themeColor="text1"/>
        </w:rPr>
      </w:pPr>
    </w:p>
    <w:p w14:paraId="6AB4EACB" w14:textId="39A06003" w:rsidR="00CF5683" w:rsidRDefault="00CF5683" w:rsidP="00957E38">
      <w:pPr>
        <w:jc w:val="center"/>
        <w:rPr>
          <w:rFonts w:ascii="Calibri" w:hAnsi="Calibri" w:cs="Calibri"/>
          <w:color w:val="000000" w:themeColor="text1"/>
        </w:rPr>
      </w:pPr>
    </w:p>
    <w:p w14:paraId="58902D01" w14:textId="2E1B5801" w:rsidR="00CF5683" w:rsidRDefault="00CF5683" w:rsidP="00957E38">
      <w:pPr>
        <w:jc w:val="center"/>
        <w:rPr>
          <w:rFonts w:ascii="Calibri" w:hAnsi="Calibri" w:cs="Calibri"/>
          <w:color w:val="000000" w:themeColor="text1"/>
        </w:rPr>
      </w:pPr>
    </w:p>
    <w:p w14:paraId="6A0BF3A1" w14:textId="77777777" w:rsidR="00CF5683" w:rsidRDefault="00CF5683" w:rsidP="00957E38">
      <w:pPr>
        <w:jc w:val="center"/>
        <w:rPr>
          <w:rFonts w:ascii="Calibri" w:hAnsi="Calibri" w:cs="Calibri"/>
          <w:color w:val="000000" w:themeColor="text1"/>
        </w:rPr>
      </w:pPr>
    </w:p>
    <w:p w14:paraId="040A004F" w14:textId="77777777" w:rsidR="00D7306E" w:rsidRDefault="00D7306E" w:rsidP="00957E38">
      <w:pPr>
        <w:jc w:val="center"/>
        <w:rPr>
          <w:rFonts w:ascii="Calibri" w:hAnsi="Calibri" w:cs="Calibri"/>
          <w:color w:val="000000" w:themeColor="text1"/>
        </w:rPr>
      </w:pPr>
    </w:p>
    <w:p w14:paraId="0EBA968B" w14:textId="77777777" w:rsidR="00D7306E" w:rsidRDefault="00D7306E" w:rsidP="00957E38">
      <w:pPr>
        <w:jc w:val="center"/>
        <w:rPr>
          <w:rFonts w:ascii="Calibri" w:hAnsi="Calibri" w:cs="Calibri"/>
          <w:color w:val="000000" w:themeColor="text1"/>
        </w:rPr>
      </w:pPr>
    </w:p>
    <w:p w14:paraId="272DFCAF" w14:textId="77777777" w:rsidR="00D7306E" w:rsidRDefault="00D7306E" w:rsidP="00957E38">
      <w:pPr>
        <w:jc w:val="center"/>
        <w:rPr>
          <w:rFonts w:ascii="Calibri" w:hAnsi="Calibri" w:cs="Calibri"/>
          <w:color w:val="000000" w:themeColor="text1"/>
        </w:rPr>
      </w:pPr>
    </w:p>
    <w:p w14:paraId="0E020853" w14:textId="2AEC33B8" w:rsidR="001114FC" w:rsidRDefault="001114FC">
      <w:pPr>
        <w:rPr>
          <w:rFonts w:ascii="Calibri" w:hAnsi="Calibri" w:cs="Calibri"/>
          <w:color w:val="000000" w:themeColor="text1"/>
        </w:rPr>
      </w:pPr>
    </w:p>
    <w:tbl>
      <w:tblPr>
        <w:tblStyle w:val="TableGrid"/>
        <w:tblpPr w:leftFromText="180" w:rightFromText="180" w:vertAnchor="text" w:horzAnchor="page" w:tblpX="893" w:tblpY="-615"/>
        <w:tblW w:w="13603" w:type="dxa"/>
        <w:tblLook w:val="04A0" w:firstRow="1" w:lastRow="0" w:firstColumn="1" w:lastColumn="0" w:noHBand="0" w:noVBand="1"/>
        <w:tblCaption w:val="Organisational process 3: Tracking and reporting on impact"/>
        <w:tblDescription w:val="Summarise your key points on the stage reached (1 - 4) in the journey and future direction of travel in the empty table cell:&#10;1 = Getting started&#10;2 = Early progress&#10;3 = Firm progress&#10;4 = Advanced progress"/>
      </w:tblPr>
      <w:tblGrid>
        <w:gridCol w:w="3671"/>
        <w:gridCol w:w="2272"/>
        <w:gridCol w:w="2310"/>
        <w:gridCol w:w="2319"/>
        <w:gridCol w:w="3031"/>
      </w:tblGrid>
      <w:tr w:rsidR="00330077" w:rsidRPr="00926F24" w14:paraId="463B6C32" w14:textId="77777777" w:rsidTr="005F08AC">
        <w:trPr>
          <w:trHeight w:val="1408"/>
          <w:tblHeader/>
        </w:trPr>
        <w:tc>
          <w:tcPr>
            <w:tcW w:w="3671" w:type="dxa"/>
            <w:tcBorders>
              <w:bottom w:val="nil"/>
            </w:tcBorders>
            <w:shd w:val="clear" w:color="auto" w:fill="7030A0"/>
            <w:vAlign w:val="center"/>
          </w:tcPr>
          <w:p w14:paraId="19A4B1E4" w14:textId="77777777" w:rsidR="00001F89" w:rsidRDefault="00330077" w:rsidP="00495569">
            <w:pPr>
              <w:pStyle w:val="Heading1"/>
              <w:rPr>
                <w:rFonts w:ascii="Arial" w:eastAsia="Times New Roman" w:hAnsi="Arial" w:cs="Arial"/>
                <w:b/>
                <w:color w:val="FFFFFF" w:themeColor="background1"/>
              </w:rPr>
            </w:pPr>
            <w:r w:rsidRPr="00AB6D75">
              <w:rPr>
                <w:rFonts w:ascii="Arial" w:hAnsi="Arial" w:cs="Arial"/>
                <w:b/>
                <w:color w:val="FFFFFF" w:themeColor="background1"/>
              </w:rPr>
              <w:t>Organisational process 3:</w:t>
            </w:r>
            <w:r w:rsidRPr="00AB6D75">
              <w:rPr>
                <w:rFonts w:ascii="Arial" w:eastAsia="Times New Roman" w:hAnsi="Arial" w:cs="Arial"/>
                <w:b/>
                <w:color w:val="FFFFFF" w:themeColor="background1"/>
              </w:rPr>
              <w:t xml:space="preserve"> </w:t>
            </w:r>
          </w:p>
          <w:p w14:paraId="05484CF3" w14:textId="4ED9EEA3" w:rsidR="00330077" w:rsidRPr="00AB6D75" w:rsidRDefault="00330077" w:rsidP="00495569">
            <w:pPr>
              <w:pStyle w:val="Heading1"/>
              <w:rPr>
                <w:rFonts w:ascii="Arial" w:eastAsia="Times New Roman" w:hAnsi="Arial" w:cs="Arial"/>
                <w:b/>
                <w:color w:val="FFFFFF" w:themeColor="background1"/>
              </w:rPr>
            </w:pPr>
            <w:r w:rsidRPr="00AB6D75">
              <w:rPr>
                <w:rFonts w:ascii="Arial" w:eastAsia="Times New Roman" w:hAnsi="Arial" w:cs="Arial"/>
                <w:b/>
                <w:color w:val="FFFFFF" w:themeColor="background1"/>
              </w:rPr>
              <w:t xml:space="preserve">Tracking and reporting on impact </w:t>
            </w:r>
          </w:p>
          <w:p w14:paraId="41BCC598" w14:textId="77777777" w:rsidR="00330077" w:rsidRPr="00AB6D75" w:rsidRDefault="00330077" w:rsidP="00495569">
            <w:pPr>
              <w:pStyle w:val="Heading1"/>
              <w:rPr>
                <w:rFonts w:ascii="Arial" w:hAnsi="Arial" w:cs="Arial"/>
                <w:bCs/>
                <w:color w:val="FFFFFF" w:themeColor="background1"/>
              </w:rPr>
            </w:pPr>
          </w:p>
        </w:tc>
        <w:tc>
          <w:tcPr>
            <w:tcW w:w="2272" w:type="dxa"/>
            <w:tcBorders>
              <w:bottom w:val="nil"/>
            </w:tcBorders>
            <w:shd w:val="clear" w:color="auto" w:fill="7030A0"/>
            <w:vAlign w:val="center"/>
          </w:tcPr>
          <w:p w14:paraId="01F51E5B" w14:textId="45D47C07" w:rsidR="00330077" w:rsidRPr="00AB6D75" w:rsidRDefault="00C030E8" w:rsidP="00495569">
            <w:pPr>
              <w:pStyle w:val="Heading1"/>
              <w:rPr>
                <w:rFonts w:ascii="Arial" w:hAnsi="Arial" w:cs="Arial"/>
                <w:bCs/>
                <w:color w:val="FFFFFF" w:themeColor="background1"/>
              </w:rPr>
            </w:pPr>
            <w:r w:rsidRPr="00AB6D75">
              <w:rPr>
                <w:rFonts w:ascii="Arial" w:hAnsi="Arial" w:cs="Arial"/>
                <w:bCs/>
                <w:color w:val="FFFFFF" w:themeColor="background1"/>
              </w:rPr>
              <w:t>Getting started</w:t>
            </w:r>
          </w:p>
        </w:tc>
        <w:tc>
          <w:tcPr>
            <w:tcW w:w="2310" w:type="dxa"/>
            <w:tcBorders>
              <w:bottom w:val="nil"/>
            </w:tcBorders>
            <w:shd w:val="clear" w:color="auto" w:fill="7030A0"/>
            <w:vAlign w:val="center"/>
          </w:tcPr>
          <w:p w14:paraId="339A3D23" w14:textId="38BE198D" w:rsidR="00330077" w:rsidRPr="00AB6D75" w:rsidRDefault="00C030E8" w:rsidP="00495569">
            <w:pPr>
              <w:pStyle w:val="Heading1"/>
              <w:rPr>
                <w:rFonts w:ascii="Arial" w:hAnsi="Arial" w:cs="Arial"/>
                <w:bCs/>
                <w:iCs/>
                <w:color w:val="FFFFFF" w:themeColor="background1"/>
              </w:rPr>
            </w:pPr>
            <w:r w:rsidRPr="00AB6D75">
              <w:rPr>
                <w:rFonts w:ascii="Arial" w:hAnsi="Arial" w:cs="Arial"/>
                <w:bCs/>
                <w:iCs/>
                <w:color w:val="FFFFFF" w:themeColor="background1"/>
              </w:rPr>
              <w:t>Early progress</w:t>
            </w:r>
          </w:p>
        </w:tc>
        <w:tc>
          <w:tcPr>
            <w:tcW w:w="2319" w:type="dxa"/>
            <w:tcBorders>
              <w:bottom w:val="nil"/>
            </w:tcBorders>
            <w:shd w:val="clear" w:color="auto" w:fill="7030A0"/>
            <w:vAlign w:val="center"/>
          </w:tcPr>
          <w:p w14:paraId="3F282469" w14:textId="74C5B200" w:rsidR="00330077" w:rsidRPr="00AB6D75" w:rsidRDefault="00C030E8" w:rsidP="00495569">
            <w:pPr>
              <w:pStyle w:val="Heading1"/>
              <w:rPr>
                <w:rFonts w:ascii="Arial" w:hAnsi="Arial" w:cs="Arial"/>
                <w:bCs/>
                <w:iCs/>
                <w:color w:val="FFFFFF" w:themeColor="background1"/>
              </w:rPr>
            </w:pPr>
            <w:r w:rsidRPr="00AB6D75">
              <w:rPr>
                <w:rFonts w:ascii="Arial" w:hAnsi="Arial" w:cs="Arial"/>
                <w:bCs/>
                <w:iCs/>
                <w:color w:val="FFFFFF" w:themeColor="background1"/>
              </w:rPr>
              <w:t>Firm progress</w:t>
            </w:r>
          </w:p>
        </w:tc>
        <w:tc>
          <w:tcPr>
            <w:tcW w:w="3031" w:type="dxa"/>
            <w:tcBorders>
              <w:bottom w:val="nil"/>
            </w:tcBorders>
            <w:shd w:val="clear" w:color="auto" w:fill="7030A0"/>
            <w:vAlign w:val="center"/>
          </w:tcPr>
          <w:p w14:paraId="02099F93" w14:textId="0ADC4FF8" w:rsidR="00330077" w:rsidRPr="00AB6D75" w:rsidRDefault="00C030E8" w:rsidP="00495569">
            <w:pPr>
              <w:pStyle w:val="Heading1"/>
              <w:rPr>
                <w:rFonts w:ascii="Arial" w:hAnsi="Arial" w:cs="Arial"/>
                <w:bCs/>
                <w:iCs/>
                <w:color w:val="FFFFFF" w:themeColor="background1"/>
              </w:rPr>
            </w:pPr>
            <w:r w:rsidRPr="00AB6D75">
              <w:rPr>
                <w:rFonts w:ascii="Arial" w:hAnsi="Arial" w:cs="Arial"/>
                <w:bCs/>
                <w:iCs/>
                <w:color w:val="FFFFFF" w:themeColor="background1"/>
              </w:rPr>
              <w:t>Advanced progress</w:t>
            </w:r>
          </w:p>
        </w:tc>
      </w:tr>
      <w:tr w:rsidR="00330077" w:rsidRPr="00926F24" w14:paraId="0B9504CB" w14:textId="77777777" w:rsidTr="00495569">
        <w:trPr>
          <w:trHeight w:val="325"/>
        </w:trPr>
        <w:tc>
          <w:tcPr>
            <w:tcW w:w="3671" w:type="dxa"/>
            <w:tcBorders>
              <w:top w:val="nil"/>
              <w:bottom w:val="single" w:sz="4" w:space="0" w:color="auto"/>
            </w:tcBorders>
            <w:shd w:val="clear" w:color="auto" w:fill="DBDBDB" w:themeFill="accent3" w:themeFillTint="66"/>
            <w:vAlign w:val="center"/>
          </w:tcPr>
          <w:p w14:paraId="70B290EE" w14:textId="77777777" w:rsidR="00330077" w:rsidRPr="00AB6D75" w:rsidRDefault="00330077" w:rsidP="00495569">
            <w:pPr>
              <w:pStyle w:val="Heading1"/>
              <w:rPr>
                <w:rFonts w:ascii="Arial" w:hAnsi="Arial" w:cs="Arial"/>
                <w:b/>
                <w:bCs/>
                <w:color w:val="auto"/>
              </w:rPr>
            </w:pPr>
          </w:p>
        </w:tc>
        <w:tc>
          <w:tcPr>
            <w:tcW w:w="2272" w:type="dxa"/>
            <w:tcBorders>
              <w:top w:val="nil"/>
            </w:tcBorders>
            <w:shd w:val="clear" w:color="auto" w:fill="DBDBDB" w:themeFill="accent3" w:themeFillTint="66"/>
            <w:vAlign w:val="center"/>
          </w:tcPr>
          <w:p w14:paraId="0D6EF858" w14:textId="77777777" w:rsidR="00330077" w:rsidRPr="00AB6D75" w:rsidRDefault="00330077" w:rsidP="00495569">
            <w:pPr>
              <w:pStyle w:val="Heading1"/>
              <w:rPr>
                <w:rFonts w:ascii="Arial" w:hAnsi="Arial" w:cs="Arial"/>
                <w:b/>
                <w:bCs/>
                <w:color w:val="auto"/>
              </w:rPr>
            </w:pPr>
            <w:r w:rsidRPr="00AB6D75">
              <w:rPr>
                <w:rFonts w:ascii="Arial" w:hAnsi="Arial" w:cs="Arial"/>
                <w:b/>
                <w:bCs/>
                <w:color w:val="auto"/>
              </w:rPr>
              <w:t>1</w:t>
            </w:r>
          </w:p>
        </w:tc>
        <w:tc>
          <w:tcPr>
            <w:tcW w:w="2310" w:type="dxa"/>
            <w:tcBorders>
              <w:top w:val="nil"/>
            </w:tcBorders>
            <w:shd w:val="clear" w:color="auto" w:fill="DBDBDB" w:themeFill="accent3" w:themeFillTint="66"/>
            <w:vAlign w:val="center"/>
          </w:tcPr>
          <w:p w14:paraId="753A0170" w14:textId="77777777" w:rsidR="00330077" w:rsidRPr="00AB6D75" w:rsidRDefault="00330077" w:rsidP="00495569">
            <w:pPr>
              <w:pStyle w:val="Heading1"/>
              <w:rPr>
                <w:rFonts w:ascii="Arial" w:hAnsi="Arial" w:cs="Arial"/>
                <w:b/>
                <w:bCs/>
                <w:color w:val="auto"/>
              </w:rPr>
            </w:pPr>
            <w:r w:rsidRPr="00AB6D75">
              <w:rPr>
                <w:rFonts w:ascii="Arial" w:hAnsi="Arial" w:cs="Arial"/>
                <w:b/>
                <w:bCs/>
                <w:color w:val="auto"/>
              </w:rPr>
              <w:t>2</w:t>
            </w:r>
          </w:p>
        </w:tc>
        <w:tc>
          <w:tcPr>
            <w:tcW w:w="2319" w:type="dxa"/>
            <w:tcBorders>
              <w:top w:val="nil"/>
            </w:tcBorders>
            <w:shd w:val="clear" w:color="auto" w:fill="DBDBDB" w:themeFill="accent3" w:themeFillTint="66"/>
            <w:vAlign w:val="center"/>
          </w:tcPr>
          <w:p w14:paraId="4D560BBD" w14:textId="77777777" w:rsidR="00330077" w:rsidRPr="00AB6D75" w:rsidRDefault="00330077" w:rsidP="00495569">
            <w:pPr>
              <w:pStyle w:val="Heading1"/>
              <w:rPr>
                <w:rFonts w:ascii="Arial" w:hAnsi="Arial" w:cs="Arial"/>
                <w:b/>
                <w:bCs/>
                <w:color w:val="auto"/>
              </w:rPr>
            </w:pPr>
            <w:r w:rsidRPr="00AB6D75">
              <w:rPr>
                <w:rFonts w:ascii="Arial" w:hAnsi="Arial" w:cs="Arial"/>
                <w:b/>
                <w:bCs/>
                <w:color w:val="auto"/>
              </w:rPr>
              <w:t>3</w:t>
            </w:r>
          </w:p>
        </w:tc>
        <w:tc>
          <w:tcPr>
            <w:tcW w:w="3031" w:type="dxa"/>
            <w:tcBorders>
              <w:top w:val="nil"/>
            </w:tcBorders>
            <w:shd w:val="clear" w:color="auto" w:fill="DBDBDB" w:themeFill="accent3" w:themeFillTint="66"/>
            <w:vAlign w:val="center"/>
          </w:tcPr>
          <w:p w14:paraId="790D3AC8" w14:textId="77777777" w:rsidR="00330077" w:rsidRPr="00AB6D75" w:rsidRDefault="00330077" w:rsidP="00495569">
            <w:pPr>
              <w:pStyle w:val="Heading1"/>
              <w:rPr>
                <w:rFonts w:ascii="Arial" w:hAnsi="Arial" w:cs="Arial"/>
                <w:b/>
                <w:bCs/>
                <w:color w:val="auto"/>
              </w:rPr>
            </w:pPr>
            <w:r w:rsidRPr="00AB6D75">
              <w:rPr>
                <w:rFonts w:ascii="Arial" w:hAnsi="Arial" w:cs="Arial"/>
                <w:b/>
                <w:bCs/>
                <w:color w:val="auto"/>
              </w:rPr>
              <w:t>4</w:t>
            </w:r>
          </w:p>
        </w:tc>
      </w:tr>
      <w:tr w:rsidR="00330077" w:rsidRPr="00926F24" w14:paraId="000C1F56" w14:textId="77777777" w:rsidTr="00495569">
        <w:trPr>
          <w:trHeight w:val="1015"/>
        </w:trPr>
        <w:tc>
          <w:tcPr>
            <w:tcW w:w="3671" w:type="dxa"/>
            <w:shd w:val="clear" w:color="auto" w:fill="DBDBDB" w:themeFill="accent3" w:themeFillTint="66"/>
          </w:tcPr>
          <w:p w14:paraId="6EE59637" w14:textId="77777777" w:rsidR="00330077" w:rsidRPr="00AB6D75" w:rsidRDefault="00330077" w:rsidP="00495569">
            <w:pPr>
              <w:spacing w:before="100" w:beforeAutospacing="1" w:after="100" w:afterAutospacing="1"/>
              <w:rPr>
                <w:rFonts w:ascii="Arial" w:hAnsi="Arial" w:cs="Arial"/>
                <w:b/>
                <w:bCs/>
                <w:iCs/>
              </w:rPr>
            </w:pPr>
            <w:r w:rsidRPr="00AB6D75">
              <w:rPr>
                <w:rFonts w:ascii="Arial" w:hAnsi="Arial" w:cs="Arial"/>
              </w:rPr>
              <w:t>There is no bespoke reporting requirement to the Socio-economic Duty. However, public bodies are encouraged to monitor and understand the impact of the Duty using existing reporting measures.</w:t>
            </w:r>
          </w:p>
        </w:tc>
        <w:tc>
          <w:tcPr>
            <w:tcW w:w="2272" w:type="dxa"/>
          </w:tcPr>
          <w:p w14:paraId="78C0BE34" w14:textId="4399EC3B" w:rsidR="00330077" w:rsidRPr="00AB6D75" w:rsidRDefault="00330077" w:rsidP="00495569">
            <w:pPr>
              <w:spacing w:before="100" w:beforeAutospacing="1" w:after="100" w:afterAutospacing="1"/>
              <w:rPr>
                <w:rFonts w:ascii="Arial" w:hAnsi="Arial" w:cs="Arial"/>
                <w:bCs/>
              </w:rPr>
            </w:pPr>
            <w:r w:rsidRPr="00AB6D75">
              <w:rPr>
                <w:rFonts w:ascii="Arial" w:hAnsi="Arial" w:cs="Arial"/>
              </w:rPr>
              <w:t>The Public Sector Equality Duty annual reports and well-being reports are used to evidence how the Socio-economic Duty has had an impact on decision-making, and to identify connections between socio-economic disadvantage and protected characteristics.</w:t>
            </w:r>
          </w:p>
        </w:tc>
        <w:tc>
          <w:tcPr>
            <w:tcW w:w="2310" w:type="dxa"/>
          </w:tcPr>
          <w:p w14:paraId="154DC568" w14:textId="77777777" w:rsidR="00330077" w:rsidRPr="00AB6D75" w:rsidRDefault="00330077" w:rsidP="00495569">
            <w:pPr>
              <w:pStyle w:val="NormalWeb"/>
              <w:rPr>
                <w:rFonts w:ascii="Arial" w:hAnsi="Arial" w:cs="Arial"/>
                <w:bCs/>
              </w:rPr>
            </w:pPr>
            <w:r w:rsidRPr="00AB6D75">
              <w:rPr>
                <w:rFonts w:ascii="Arial" w:hAnsi="Arial" w:cs="Arial"/>
                <w:bCs/>
              </w:rPr>
              <w:t>Outcome measures are identified for those decisions captured under the Socio-economic Duty and reflect impact in reducing inequalities.</w:t>
            </w:r>
          </w:p>
        </w:tc>
        <w:tc>
          <w:tcPr>
            <w:tcW w:w="2319" w:type="dxa"/>
          </w:tcPr>
          <w:p w14:paraId="639AEBA3" w14:textId="0CC50145" w:rsidR="00330077" w:rsidRPr="00AB6D75" w:rsidRDefault="00330077" w:rsidP="00495569">
            <w:pPr>
              <w:pStyle w:val="NoSpacing"/>
              <w:rPr>
                <w:rFonts w:ascii="Arial" w:hAnsi="Arial" w:cs="Arial"/>
                <w:bCs/>
              </w:rPr>
            </w:pPr>
            <w:r w:rsidRPr="00AB6D75">
              <w:rPr>
                <w:rFonts w:ascii="Arial" w:hAnsi="Arial" w:cs="Arial"/>
                <w:bCs/>
              </w:rPr>
              <w:t xml:space="preserve">The organisation </w:t>
            </w:r>
            <w:r w:rsidR="00FE3491" w:rsidRPr="00AB6D75">
              <w:rPr>
                <w:rFonts w:ascii="Arial" w:hAnsi="Arial" w:cs="Arial"/>
                <w:bCs/>
              </w:rPr>
              <w:t>understands where it</w:t>
            </w:r>
            <w:r w:rsidRPr="00AB6D75">
              <w:rPr>
                <w:rFonts w:ascii="Arial" w:hAnsi="Arial" w:cs="Arial"/>
                <w:bCs/>
              </w:rPr>
              <w:t xml:space="preserve"> can achieve the greatest impact in addressing inequalities that exist as a result of socio-economic disadvantage. </w:t>
            </w:r>
          </w:p>
          <w:p w14:paraId="494EC9A5" w14:textId="77777777" w:rsidR="00330077" w:rsidRPr="00AB6D75" w:rsidRDefault="00330077" w:rsidP="00495569">
            <w:pPr>
              <w:pStyle w:val="NoSpacing"/>
              <w:rPr>
                <w:rFonts w:ascii="Arial" w:hAnsi="Arial" w:cs="Arial"/>
                <w:bCs/>
              </w:rPr>
            </w:pPr>
          </w:p>
          <w:p w14:paraId="6E9A9B53" w14:textId="22EFF6B2" w:rsidR="00330077" w:rsidRPr="00AB6D75" w:rsidRDefault="00FE3491" w:rsidP="00495569">
            <w:pPr>
              <w:pStyle w:val="NoSpacing"/>
              <w:rPr>
                <w:rFonts w:ascii="Arial" w:hAnsi="Arial" w:cs="Arial"/>
                <w:bCs/>
              </w:rPr>
            </w:pPr>
            <w:r w:rsidRPr="00AB6D75">
              <w:rPr>
                <w:rFonts w:ascii="Arial" w:hAnsi="Arial" w:cs="Arial"/>
                <w:bCs/>
              </w:rPr>
              <w:t>I</w:t>
            </w:r>
            <w:r w:rsidR="00330077" w:rsidRPr="00AB6D75">
              <w:rPr>
                <w:rFonts w:ascii="Arial" w:hAnsi="Arial" w:cs="Arial"/>
                <w:bCs/>
              </w:rPr>
              <w:t>mpact is tracked and included within organisational performance reporting.</w:t>
            </w:r>
          </w:p>
          <w:p w14:paraId="3C45BDEE" w14:textId="77777777" w:rsidR="00330077" w:rsidRPr="00AB6D75" w:rsidRDefault="00330077" w:rsidP="00495569">
            <w:pPr>
              <w:pStyle w:val="NoSpacing"/>
              <w:rPr>
                <w:rFonts w:ascii="Arial" w:hAnsi="Arial" w:cs="Arial"/>
                <w:bCs/>
              </w:rPr>
            </w:pPr>
          </w:p>
          <w:p w14:paraId="5A943A30" w14:textId="77777777" w:rsidR="00330077" w:rsidRPr="00AB6D75" w:rsidRDefault="00330077" w:rsidP="00495569">
            <w:pPr>
              <w:pStyle w:val="NoSpacing"/>
              <w:rPr>
                <w:rFonts w:ascii="Arial" w:hAnsi="Arial" w:cs="Arial"/>
                <w:bCs/>
              </w:rPr>
            </w:pPr>
          </w:p>
        </w:tc>
        <w:tc>
          <w:tcPr>
            <w:tcW w:w="3031" w:type="dxa"/>
          </w:tcPr>
          <w:p w14:paraId="03891E68" w14:textId="77777777" w:rsidR="00330077" w:rsidRPr="00AB6D75" w:rsidRDefault="00330077" w:rsidP="00495569">
            <w:pPr>
              <w:pStyle w:val="NoSpacing"/>
              <w:rPr>
                <w:rFonts w:ascii="Arial" w:hAnsi="Arial" w:cs="Arial"/>
              </w:rPr>
            </w:pPr>
          </w:p>
          <w:p w14:paraId="3E601C86" w14:textId="77777777" w:rsidR="00330077" w:rsidRPr="00AB6D75" w:rsidRDefault="00330077" w:rsidP="00495569">
            <w:pPr>
              <w:pStyle w:val="NoSpacing"/>
              <w:rPr>
                <w:rFonts w:ascii="Arial" w:hAnsi="Arial" w:cs="Arial"/>
              </w:rPr>
            </w:pPr>
            <w:r w:rsidRPr="00AB6D75">
              <w:rPr>
                <w:rFonts w:ascii="Arial" w:hAnsi="Arial" w:cs="Arial"/>
              </w:rPr>
              <w:t>A long-term vision to track progress on reducing inequalities of outcome is in place and identifies what success looks like in five, ten, fifteen, twenty, and twenty-five years, and identify appropriate milestones and measures utilising existing indicators.</w:t>
            </w:r>
          </w:p>
          <w:p w14:paraId="083328FC" w14:textId="77777777" w:rsidR="00330077" w:rsidRPr="00AB6D75" w:rsidRDefault="00330077" w:rsidP="00495569">
            <w:pPr>
              <w:pStyle w:val="NoSpacing"/>
              <w:rPr>
                <w:rFonts w:ascii="Arial" w:hAnsi="Arial" w:cs="Arial"/>
              </w:rPr>
            </w:pPr>
          </w:p>
          <w:p w14:paraId="2DB7F908" w14:textId="2600CF76" w:rsidR="00330077" w:rsidRPr="00AB6D75" w:rsidRDefault="00FE3491" w:rsidP="00495569">
            <w:pPr>
              <w:pStyle w:val="NoSpacing"/>
              <w:rPr>
                <w:rFonts w:ascii="Arial" w:hAnsi="Arial" w:cs="Arial"/>
              </w:rPr>
            </w:pPr>
            <w:r w:rsidRPr="00AB6D75">
              <w:rPr>
                <w:rFonts w:ascii="Arial" w:hAnsi="Arial" w:cs="Arial"/>
              </w:rPr>
              <w:t>Progress is measured over a</w:t>
            </w:r>
            <w:r w:rsidR="00330077" w:rsidRPr="00AB6D75">
              <w:rPr>
                <w:rFonts w:ascii="Arial" w:hAnsi="Arial" w:cs="Arial"/>
              </w:rPr>
              <w:t xml:space="preserve"> long term basis and is scrutinised at the highest level.</w:t>
            </w:r>
          </w:p>
          <w:p w14:paraId="05D96534" w14:textId="77777777" w:rsidR="00330077" w:rsidRPr="00AB6D75" w:rsidRDefault="00330077" w:rsidP="00495569">
            <w:pPr>
              <w:pStyle w:val="NormalWeb"/>
              <w:jc w:val="center"/>
              <w:rPr>
                <w:rFonts w:ascii="Arial" w:hAnsi="Arial" w:cs="Arial"/>
                <w:bCs/>
              </w:rPr>
            </w:pPr>
          </w:p>
        </w:tc>
      </w:tr>
      <w:tr w:rsidR="00330077" w:rsidRPr="00926F24" w14:paraId="0C1A9AC2" w14:textId="77777777" w:rsidTr="00495569">
        <w:trPr>
          <w:trHeight w:val="588"/>
        </w:trPr>
        <w:tc>
          <w:tcPr>
            <w:tcW w:w="3671" w:type="dxa"/>
            <w:shd w:val="clear" w:color="auto" w:fill="DBDBDB" w:themeFill="accent3" w:themeFillTint="66"/>
          </w:tcPr>
          <w:p w14:paraId="6C1AD67E" w14:textId="77777777" w:rsidR="00330077" w:rsidRPr="00AB6D75" w:rsidRDefault="00330077" w:rsidP="00495569">
            <w:pPr>
              <w:pStyle w:val="NormalWeb"/>
              <w:spacing w:before="0" w:beforeAutospacing="0" w:after="0" w:afterAutospacing="0"/>
              <w:rPr>
                <w:rFonts w:ascii="Arial" w:hAnsi="Arial" w:cs="Arial"/>
                <w:b/>
                <w:bCs/>
                <w:iCs/>
              </w:rPr>
            </w:pPr>
            <w:r w:rsidRPr="00AB6D75">
              <w:rPr>
                <w:rFonts w:ascii="Arial" w:hAnsi="Arial" w:cs="Arial"/>
                <w:b/>
                <w:bCs/>
                <w:iCs/>
              </w:rPr>
              <w:t>Summary – your key points on the stage reached in the journey and future direction of travel</w:t>
            </w:r>
          </w:p>
        </w:tc>
        <w:tc>
          <w:tcPr>
            <w:tcW w:w="9932" w:type="dxa"/>
            <w:gridSpan w:val="4"/>
            <w:shd w:val="clear" w:color="auto" w:fill="auto"/>
          </w:tcPr>
          <w:p w14:paraId="5CA39F14" w14:textId="77777777" w:rsidR="00330077" w:rsidRPr="00AB6D75" w:rsidRDefault="00330077" w:rsidP="00495569">
            <w:pPr>
              <w:rPr>
                <w:rFonts w:ascii="Arial" w:hAnsi="Arial" w:cs="Arial"/>
              </w:rPr>
            </w:pPr>
          </w:p>
        </w:tc>
      </w:tr>
    </w:tbl>
    <w:p w14:paraId="1E1DC17B" w14:textId="77777777" w:rsidR="00D7306E" w:rsidRDefault="00D7306E" w:rsidP="00957E38">
      <w:pPr>
        <w:jc w:val="center"/>
        <w:rPr>
          <w:rFonts w:ascii="Calibri" w:hAnsi="Calibri" w:cs="Calibri"/>
          <w:color w:val="000000" w:themeColor="text1"/>
        </w:rPr>
      </w:pPr>
    </w:p>
    <w:p w14:paraId="7F060C39" w14:textId="77777777" w:rsidR="00D7306E" w:rsidRDefault="00D7306E" w:rsidP="00957E38">
      <w:pPr>
        <w:jc w:val="center"/>
        <w:rPr>
          <w:rFonts w:ascii="Calibri" w:hAnsi="Calibri" w:cs="Calibri"/>
          <w:color w:val="000000" w:themeColor="text1"/>
        </w:rPr>
      </w:pPr>
    </w:p>
    <w:p w14:paraId="260FF021" w14:textId="77777777" w:rsidR="00D7306E" w:rsidRDefault="00D7306E" w:rsidP="00957E38">
      <w:pPr>
        <w:jc w:val="center"/>
        <w:rPr>
          <w:rFonts w:ascii="Calibri" w:hAnsi="Calibri" w:cs="Calibri"/>
          <w:color w:val="000000" w:themeColor="text1"/>
        </w:rPr>
      </w:pPr>
    </w:p>
    <w:p w14:paraId="4C7BDA8F" w14:textId="77777777" w:rsidR="00D7306E" w:rsidRDefault="00D7306E" w:rsidP="00957E38">
      <w:pPr>
        <w:jc w:val="center"/>
        <w:rPr>
          <w:rFonts w:ascii="Calibri" w:hAnsi="Calibri" w:cs="Calibri"/>
          <w:color w:val="000000" w:themeColor="text1"/>
        </w:rPr>
      </w:pPr>
    </w:p>
    <w:p w14:paraId="467C7F1C" w14:textId="77777777" w:rsidR="00D7306E" w:rsidRDefault="00D7306E" w:rsidP="00957E38">
      <w:pPr>
        <w:jc w:val="center"/>
        <w:rPr>
          <w:rFonts w:ascii="Calibri" w:hAnsi="Calibri" w:cs="Calibri"/>
          <w:color w:val="000000" w:themeColor="text1"/>
        </w:rPr>
      </w:pPr>
    </w:p>
    <w:p w14:paraId="312522E0" w14:textId="77777777" w:rsidR="00D7306E" w:rsidRDefault="00D7306E" w:rsidP="00957E38">
      <w:pPr>
        <w:jc w:val="center"/>
        <w:rPr>
          <w:rFonts w:ascii="Calibri" w:hAnsi="Calibri" w:cs="Calibri"/>
          <w:color w:val="000000" w:themeColor="text1"/>
        </w:rPr>
      </w:pPr>
    </w:p>
    <w:p w14:paraId="78B7ACB6" w14:textId="77777777" w:rsidR="00D7306E" w:rsidRDefault="00D7306E" w:rsidP="00957E38">
      <w:pPr>
        <w:jc w:val="center"/>
        <w:rPr>
          <w:rFonts w:ascii="Calibri" w:hAnsi="Calibri" w:cs="Calibri"/>
          <w:color w:val="000000" w:themeColor="text1"/>
        </w:rPr>
      </w:pPr>
    </w:p>
    <w:p w14:paraId="3969AAF1" w14:textId="77777777" w:rsidR="00D7306E" w:rsidRDefault="00D7306E" w:rsidP="00957E38">
      <w:pPr>
        <w:jc w:val="center"/>
        <w:rPr>
          <w:rFonts w:ascii="Calibri" w:hAnsi="Calibri" w:cs="Calibri"/>
          <w:color w:val="000000" w:themeColor="text1"/>
        </w:rPr>
      </w:pPr>
    </w:p>
    <w:p w14:paraId="25CFBDE3" w14:textId="77777777" w:rsidR="00D7306E" w:rsidRDefault="00D7306E" w:rsidP="00957E38">
      <w:pPr>
        <w:jc w:val="center"/>
        <w:rPr>
          <w:rFonts w:ascii="Calibri" w:hAnsi="Calibri" w:cs="Calibri"/>
          <w:color w:val="000000" w:themeColor="text1"/>
        </w:rPr>
      </w:pPr>
    </w:p>
    <w:p w14:paraId="2DB47B3E" w14:textId="77777777" w:rsidR="00D7306E" w:rsidRDefault="00D7306E" w:rsidP="00957E38">
      <w:pPr>
        <w:jc w:val="center"/>
        <w:rPr>
          <w:rFonts w:ascii="Calibri" w:hAnsi="Calibri" w:cs="Calibri"/>
          <w:color w:val="000000" w:themeColor="text1"/>
        </w:rPr>
      </w:pPr>
    </w:p>
    <w:p w14:paraId="7FE8C1D3" w14:textId="4020A661" w:rsidR="001114FC" w:rsidRDefault="001114FC">
      <w:pPr>
        <w:rPr>
          <w:rFonts w:ascii="Calibri" w:hAnsi="Calibri" w:cs="Times New Roman"/>
          <w:sz w:val="22"/>
          <w:szCs w:val="22"/>
        </w:rPr>
      </w:pPr>
      <w:r>
        <w:rPr>
          <w:rFonts w:ascii="Calibri" w:hAnsi="Calibri" w:cs="Times New Roman"/>
          <w:sz w:val="22"/>
          <w:szCs w:val="22"/>
        </w:rPr>
        <w:br w:type="page"/>
      </w:r>
    </w:p>
    <w:tbl>
      <w:tblPr>
        <w:tblStyle w:val="TableGrid"/>
        <w:tblpPr w:leftFromText="180" w:rightFromText="180" w:vertAnchor="text" w:horzAnchor="margin" w:tblpXSpec="center" w:tblpY="-77"/>
        <w:tblW w:w="14879" w:type="dxa"/>
        <w:tblLook w:val="04A0" w:firstRow="1" w:lastRow="0" w:firstColumn="1" w:lastColumn="0" w:noHBand="0" w:noVBand="1"/>
        <w:tblCaption w:val="Organisational process 4: Engagement, involvement and consultation"/>
        <w:tblDescription w:val="Summarise your key points on the stage reached (1 - 4) in the journey and future direction of travel in the empty table cell provided:&#10;1 = Getting started&#10;2 = Early progress&#10;3 = Firm progress&#10;4 = Advanced progress"/>
      </w:tblPr>
      <w:tblGrid>
        <w:gridCol w:w="3397"/>
        <w:gridCol w:w="2977"/>
        <w:gridCol w:w="2835"/>
        <w:gridCol w:w="2977"/>
        <w:gridCol w:w="2693"/>
      </w:tblGrid>
      <w:tr w:rsidR="00E74A38" w:rsidRPr="00926F24" w14:paraId="64CC7DCA" w14:textId="77777777" w:rsidTr="005F08AC">
        <w:trPr>
          <w:trHeight w:val="1408"/>
          <w:tblHeader/>
        </w:trPr>
        <w:tc>
          <w:tcPr>
            <w:tcW w:w="3397" w:type="dxa"/>
            <w:tcBorders>
              <w:bottom w:val="nil"/>
            </w:tcBorders>
            <w:shd w:val="clear" w:color="auto" w:fill="7030A0"/>
            <w:vAlign w:val="center"/>
          </w:tcPr>
          <w:p w14:paraId="3C36B128" w14:textId="77777777" w:rsidR="00001F89" w:rsidRPr="00AB6D75" w:rsidRDefault="00330077" w:rsidP="00330077">
            <w:pPr>
              <w:spacing w:before="100" w:beforeAutospacing="1" w:after="100" w:afterAutospacing="1"/>
              <w:rPr>
                <w:rFonts w:ascii="Arial" w:eastAsia="Times New Roman" w:hAnsi="Arial" w:cs="Arial"/>
                <w:b/>
                <w:color w:val="FFFFFF" w:themeColor="background1"/>
                <w:sz w:val="32"/>
                <w:szCs w:val="32"/>
              </w:rPr>
            </w:pPr>
            <w:r w:rsidRPr="00AB6D75">
              <w:rPr>
                <w:rFonts w:ascii="Arial" w:hAnsi="Arial" w:cs="Arial"/>
                <w:b/>
                <w:color w:val="FFFFFF" w:themeColor="background1"/>
                <w:sz w:val="32"/>
                <w:szCs w:val="32"/>
              </w:rPr>
              <w:t>Organisational process 4:</w:t>
            </w:r>
            <w:r w:rsidRPr="00AB6D75">
              <w:rPr>
                <w:rFonts w:ascii="Arial" w:eastAsia="Times New Roman" w:hAnsi="Arial" w:cs="Arial"/>
                <w:b/>
                <w:color w:val="FFFFFF" w:themeColor="background1"/>
                <w:sz w:val="32"/>
                <w:szCs w:val="32"/>
              </w:rPr>
              <w:t xml:space="preserve"> </w:t>
            </w:r>
          </w:p>
          <w:p w14:paraId="5AB7BE3B" w14:textId="5E494707" w:rsidR="00330077" w:rsidRPr="00AB6D75" w:rsidRDefault="00330077" w:rsidP="00330077">
            <w:pPr>
              <w:spacing w:before="100" w:beforeAutospacing="1" w:after="100" w:afterAutospacing="1"/>
              <w:rPr>
                <w:rFonts w:ascii="Arial" w:eastAsia="Times New Roman" w:hAnsi="Arial" w:cs="Arial"/>
                <w:b/>
                <w:color w:val="FFFFFF" w:themeColor="background1"/>
                <w:sz w:val="32"/>
                <w:szCs w:val="32"/>
              </w:rPr>
            </w:pPr>
            <w:r w:rsidRPr="00AB6D75">
              <w:rPr>
                <w:rFonts w:ascii="Arial" w:eastAsia="Times New Roman" w:hAnsi="Arial" w:cs="Arial"/>
                <w:b/>
                <w:color w:val="FFFFFF" w:themeColor="background1"/>
                <w:sz w:val="32"/>
                <w:szCs w:val="32"/>
              </w:rPr>
              <w:t xml:space="preserve">Engagement, involvement and consultation </w:t>
            </w:r>
          </w:p>
          <w:p w14:paraId="54AB44FE" w14:textId="54A09098" w:rsidR="00E74A38" w:rsidRPr="00AB6D75" w:rsidRDefault="00E74A38" w:rsidP="00330077">
            <w:pPr>
              <w:pStyle w:val="Pa6"/>
              <w:spacing w:after="220"/>
              <w:rPr>
                <w:rFonts w:ascii="Arial" w:hAnsi="Arial" w:cs="Arial"/>
                <w:b/>
                <w:bCs/>
                <w:color w:val="FFFFFF" w:themeColor="background1"/>
                <w:sz w:val="32"/>
                <w:szCs w:val="32"/>
              </w:rPr>
            </w:pPr>
          </w:p>
        </w:tc>
        <w:tc>
          <w:tcPr>
            <w:tcW w:w="2977" w:type="dxa"/>
            <w:tcBorders>
              <w:bottom w:val="nil"/>
            </w:tcBorders>
            <w:shd w:val="clear" w:color="auto" w:fill="7030A0"/>
            <w:vAlign w:val="center"/>
          </w:tcPr>
          <w:p w14:paraId="4982AB99" w14:textId="7E43C76A" w:rsidR="00E74A38" w:rsidRPr="00AB6D75" w:rsidRDefault="00C030E8" w:rsidP="00330077">
            <w:pPr>
              <w:pStyle w:val="NormalWeb"/>
              <w:jc w:val="center"/>
              <w:rPr>
                <w:rFonts w:ascii="Arial" w:hAnsi="Arial" w:cs="Arial"/>
                <w:b/>
                <w:bCs/>
                <w:color w:val="FFFFFF" w:themeColor="background1"/>
                <w:sz w:val="32"/>
                <w:szCs w:val="32"/>
              </w:rPr>
            </w:pPr>
            <w:r w:rsidRPr="00AB6D75">
              <w:rPr>
                <w:rFonts w:ascii="Arial" w:hAnsi="Arial" w:cs="Arial"/>
                <w:b/>
                <w:bCs/>
                <w:color w:val="FFFFFF" w:themeColor="background1"/>
                <w:sz w:val="32"/>
                <w:szCs w:val="32"/>
              </w:rPr>
              <w:t>Getting started</w:t>
            </w:r>
          </w:p>
        </w:tc>
        <w:tc>
          <w:tcPr>
            <w:tcW w:w="2835" w:type="dxa"/>
            <w:tcBorders>
              <w:bottom w:val="nil"/>
            </w:tcBorders>
            <w:shd w:val="clear" w:color="auto" w:fill="7030A0"/>
            <w:vAlign w:val="center"/>
          </w:tcPr>
          <w:p w14:paraId="34FDF8EE" w14:textId="47999609" w:rsidR="00E74A38" w:rsidRPr="00AB6D75" w:rsidRDefault="00C030E8"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rPr>
              <w:t>Early progress</w:t>
            </w:r>
          </w:p>
        </w:tc>
        <w:tc>
          <w:tcPr>
            <w:tcW w:w="2977" w:type="dxa"/>
            <w:tcBorders>
              <w:bottom w:val="nil"/>
            </w:tcBorders>
            <w:shd w:val="clear" w:color="auto" w:fill="7030A0"/>
            <w:vAlign w:val="center"/>
          </w:tcPr>
          <w:p w14:paraId="0E438EF7" w14:textId="0E71234D" w:rsidR="00E74A38" w:rsidRPr="00AB6D75" w:rsidRDefault="00C030E8"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rPr>
              <w:t>Firm progress</w:t>
            </w:r>
          </w:p>
        </w:tc>
        <w:tc>
          <w:tcPr>
            <w:tcW w:w="2693" w:type="dxa"/>
            <w:tcBorders>
              <w:bottom w:val="nil"/>
            </w:tcBorders>
            <w:shd w:val="clear" w:color="auto" w:fill="7030A0"/>
            <w:vAlign w:val="center"/>
          </w:tcPr>
          <w:p w14:paraId="50D05EAA" w14:textId="6F53482E" w:rsidR="00E74A38" w:rsidRPr="00AB6D75" w:rsidRDefault="00C030E8" w:rsidP="00330077">
            <w:pPr>
              <w:pStyle w:val="NormalWeb"/>
              <w:rPr>
                <w:rFonts w:ascii="Arial" w:hAnsi="Arial" w:cs="Arial"/>
                <w:b/>
                <w:bCs/>
                <w:iCs/>
                <w:color w:val="FFFFFF" w:themeColor="background1"/>
                <w:sz w:val="32"/>
                <w:szCs w:val="32"/>
              </w:rPr>
            </w:pPr>
            <w:r w:rsidRPr="00AB6D75">
              <w:rPr>
                <w:rFonts w:ascii="Arial" w:hAnsi="Arial" w:cs="Arial"/>
                <w:b/>
                <w:bCs/>
                <w:iCs/>
                <w:color w:val="FFFFFF" w:themeColor="background1"/>
                <w:sz w:val="32"/>
                <w:szCs w:val="32"/>
              </w:rPr>
              <w:t>Advanced progress</w:t>
            </w:r>
          </w:p>
        </w:tc>
      </w:tr>
      <w:tr w:rsidR="00E74A38" w:rsidRPr="00926F24" w14:paraId="2B9E40FD" w14:textId="77777777" w:rsidTr="00AB6D75">
        <w:trPr>
          <w:trHeight w:val="325"/>
        </w:trPr>
        <w:tc>
          <w:tcPr>
            <w:tcW w:w="3397" w:type="dxa"/>
            <w:tcBorders>
              <w:top w:val="nil"/>
              <w:bottom w:val="single" w:sz="4" w:space="0" w:color="auto"/>
            </w:tcBorders>
            <w:shd w:val="clear" w:color="auto" w:fill="DBDBDB" w:themeFill="accent3" w:themeFillTint="66"/>
            <w:vAlign w:val="center"/>
          </w:tcPr>
          <w:p w14:paraId="1402AD04" w14:textId="77777777" w:rsidR="00E74A38" w:rsidRPr="00AB6D75" w:rsidRDefault="00E74A38" w:rsidP="00330077">
            <w:pPr>
              <w:pStyle w:val="NormalWeb"/>
              <w:jc w:val="center"/>
              <w:rPr>
                <w:rFonts w:ascii="Arial" w:hAnsi="Arial" w:cs="Arial"/>
                <w:b/>
                <w:bCs/>
                <w:sz w:val="32"/>
                <w:szCs w:val="32"/>
              </w:rPr>
            </w:pPr>
          </w:p>
        </w:tc>
        <w:tc>
          <w:tcPr>
            <w:tcW w:w="2977" w:type="dxa"/>
            <w:tcBorders>
              <w:top w:val="nil"/>
            </w:tcBorders>
            <w:shd w:val="clear" w:color="auto" w:fill="DBDBDB" w:themeFill="accent3" w:themeFillTint="66"/>
            <w:vAlign w:val="center"/>
          </w:tcPr>
          <w:p w14:paraId="45B424E1" w14:textId="77777777" w:rsidR="00E74A38" w:rsidRPr="00AB6D75" w:rsidRDefault="00E74A38" w:rsidP="00330077">
            <w:pPr>
              <w:pStyle w:val="NormalWeb"/>
              <w:jc w:val="center"/>
              <w:rPr>
                <w:rFonts w:ascii="Arial" w:hAnsi="Arial" w:cs="Arial"/>
                <w:b/>
                <w:bCs/>
                <w:sz w:val="32"/>
                <w:szCs w:val="32"/>
              </w:rPr>
            </w:pPr>
            <w:r w:rsidRPr="00AB6D75">
              <w:rPr>
                <w:rFonts w:ascii="Arial" w:hAnsi="Arial" w:cs="Arial"/>
                <w:b/>
                <w:bCs/>
                <w:sz w:val="32"/>
                <w:szCs w:val="32"/>
              </w:rPr>
              <w:t>1</w:t>
            </w:r>
          </w:p>
        </w:tc>
        <w:tc>
          <w:tcPr>
            <w:tcW w:w="2835" w:type="dxa"/>
            <w:tcBorders>
              <w:top w:val="nil"/>
            </w:tcBorders>
            <w:shd w:val="clear" w:color="auto" w:fill="DBDBDB" w:themeFill="accent3" w:themeFillTint="66"/>
            <w:vAlign w:val="center"/>
          </w:tcPr>
          <w:p w14:paraId="2AF7AEF2" w14:textId="77777777" w:rsidR="00E74A38" w:rsidRPr="00AB6D75" w:rsidRDefault="00E74A38" w:rsidP="00330077">
            <w:pPr>
              <w:pStyle w:val="NormalWeb"/>
              <w:jc w:val="center"/>
              <w:rPr>
                <w:rFonts w:ascii="Arial" w:hAnsi="Arial" w:cs="Arial"/>
                <w:b/>
                <w:bCs/>
                <w:sz w:val="32"/>
                <w:szCs w:val="32"/>
              </w:rPr>
            </w:pPr>
            <w:r w:rsidRPr="00AB6D75">
              <w:rPr>
                <w:rFonts w:ascii="Arial" w:hAnsi="Arial" w:cs="Arial"/>
                <w:b/>
                <w:bCs/>
                <w:sz w:val="32"/>
                <w:szCs w:val="32"/>
              </w:rPr>
              <w:t>2</w:t>
            </w:r>
          </w:p>
        </w:tc>
        <w:tc>
          <w:tcPr>
            <w:tcW w:w="2977" w:type="dxa"/>
            <w:tcBorders>
              <w:top w:val="nil"/>
            </w:tcBorders>
            <w:shd w:val="clear" w:color="auto" w:fill="DBDBDB" w:themeFill="accent3" w:themeFillTint="66"/>
            <w:vAlign w:val="center"/>
          </w:tcPr>
          <w:p w14:paraId="7AFF4045" w14:textId="77777777" w:rsidR="00E74A38" w:rsidRPr="00AB6D75" w:rsidRDefault="00E74A38" w:rsidP="00330077">
            <w:pPr>
              <w:pStyle w:val="NormalWeb"/>
              <w:jc w:val="center"/>
              <w:rPr>
                <w:rFonts w:ascii="Arial" w:hAnsi="Arial" w:cs="Arial"/>
                <w:b/>
                <w:bCs/>
                <w:sz w:val="32"/>
                <w:szCs w:val="32"/>
              </w:rPr>
            </w:pPr>
            <w:r w:rsidRPr="00AB6D75">
              <w:rPr>
                <w:rFonts w:ascii="Arial" w:hAnsi="Arial" w:cs="Arial"/>
                <w:b/>
                <w:bCs/>
                <w:sz w:val="32"/>
                <w:szCs w:val="32"/>
              </w:rPr>
              <w:t>3</w:t>
            </w:r>
          </w:p>
        </w:tc>
        <w:tc>
          <w:tcPr>
            <w:tcW w:w="2693" w:type="dxa"/>
            <w:tcBorders>
              <w:top w:val="nil"/>
            </w:tcBorders>
            <w:shd w:val="clear" w:color="auto" w:fill="DBDBDB" w:themeFill="accent3" w:themeFillTint="66"/>
            <w:vAlign w:val="center"/>
          </w:tcPr>
          <w:p w14:paraId="2D518669" w14:textId="77777777" w:rsidR="00E74A38" w:rsidRPr="00AB6D75" w:rsidRDefault="00E74A38" w:rsidP="00330077">
            <w:pPr>
              <w:pStyle w:val="NormalWeb"/>
              <w:jc w:val="center"/>
              <w:rPr>
                <w:rFonts w:ascii="Arial" w:hAnsi="Arial" w:cs="Arial"/>
                <w:b/>
                <w:bCs/>
                <w:sz w:val="32"/>
                <w:szCs w:val="32"/>
              </w:rPr>
            </w:pPr>
            <w:r w:rsidRPr="00AB6D75">
              <w:rPr>
                <w:rFonts w:ascii="Arial" w:hAnsi="Arial" w:cs="Arial"/>
                <w:b/>
                <w:bCs/>
                <w:sz w:val="32"/>
                <w:szCs w:val="32"/>
              </w:rPr>
              <w:t>4</w:t>
            </w:r>
          </w:p>
        </w:tc>
      </w:tr>
      <w:tr w:rsidR="00E74A38" w:rsidRPr="00EA563D" w14:paraId="5BA603E1" w14:textId="77777777" w:rsidTr="00AB6D75">
        <w:trPr>
          <w:trHeight w:val="1015"/>
        </w:trPr>
        <w:tc>
          <w:tcPr>
            <w:tcW w:w="3397" w:type="dxa"/>
            <w:shd w:val="clear" w:color="auto" w:fill="DBDBDB" w:themeFill="accent3" w:themeFillTint="66"/>
          </w:tcPr>
          <w:p w14:paraId="712FF164" w14:textId="4E1BF451" w:rsidR="00330077" w:rsidRPr="00AB6D75" w:rsidRDefault="00330077" w:rsidP="00330077">
            <w:pPr>
              <w:spacing w:before="100" w:beforeAutospacing="1" w:after="100" w:afterAutospacing="1"/>
              <w:rPr>
                <w:rFonts w:ascii="Arial" w:hAnsi="Arial" w:cs="Arial"/>
                <w:b/>
                <w:bCs/>
                <w:i/>
                <w:iCs/>
              </w:rPr>
            </w:pPr>
            <w:r w:rsidRPr="00AB6D75">
              <w:rPr>
                <w:rFonts w:ascii="Arial" w:hAnsi="Arial" w:cs="Arial"/>
              </w:rPr>
              <w:t>Public bodies are encouraged to consider data and evidence on the inequalities of outcome associated with socio-economic disadvantage. Engaging directly with individuals and communities affected by socio-economic disadvantage will inform this.</w:t>
            </w:r>
          </w:p>
        </w:tc>
        <w:tc>
          <w:tcPr>
            <w:tcW w:w="2977" w:type="dxa"/>
          </w:tcPr>
          <w:p w14:paraId="72615AA5" w14:textId="33A89A28" w:rsidR="00616EF6" w:rsidRPr="00AB6D75" w:rsidRDefault="00616EF6" w:rsidP="00330077">
            <w:pPr>
              <w:spacing w:before="100" w:beforeAutospacing="1" w:after="100" w:afterAutospacing="1"/>
              <w:rPr>
                <w:rFonts w:ascii="Arial" w:hAnsi="Arial" w:cs="Arial"/>
                <w:bCs/>
              </w:rPr>
            </w:pPr>
            <w:r w:rsidRPr="00AB6D75">
              <w:rPr>
                <w:rFonts w:ascii="Arial" w:hAnsi="Arial" w:cs="Arial"/>
                <w:bCs/>
              </w:rPr>
              <w:t xml:space="preserve">Support for engagement, involvement is provided at the highest level of the organisation. There is an understanding at the highest level that time and resource is required to conduct meaningful engagement. </w:t>
            </w:r>
          </w:p>
          <w:p w14:paraId="34E398B5" w14:textId="1D8780B5" w:rsidR="00E74A38" w:rsidRPr="00AB6D75" w:rsidRDefault="00616EF6" w:rsidP="00330077">
            <w:pPr>
              <w:spacing w:before="100" w:beforeAutospacing="1" w:after="100" w:afterAutospacing="1"/>
              <w:rPr>
                <w:rFonts w:ascii="Arial" w:hAnsi="Arial" w:cs="Arial"/>
                <w:bCs/>
              </w:rPr>
            </w:pPr>
            <w:r w:rsidRPr="00AB6D75">
              <w:rPr>
                <w:rFonts w:ascii="Arial" w:hAnsi="Arial" w:cs="Arial"/>
                <w:bCs/>
              </w:rPr>
              <w:t>Engagement and involvement is integrated into policy development processes.</w:t>
            </w:r>
          </w:p>
          <w:p w14:paraId="574C6E1B" w14:textId="1A6F5875" w:rsidR="00616EF6" w:rsidRPr="00AB6D75" w:rsidRDefault="00616EF6" w:rsidP="00330077">
            <w:pPr>
              <w:spacing w:before="100" w:beforeAutospacing="1" w:after="100" w:afterAutospacing="1"/>
              <w:rPr>
                <w:rFonts w:ascii="Arial" w:hAnsi="Arial" w:cs="Arial"/>
                <w:bCs/>
              </w:rPr>
            </w:pPr>
            <w:r w:rsidRPr="00AB6D75">
              <w:rPr>
                <w:rFonts w:ascii="Arial" w:hAnsi="Arial" w:cs="Arial"/>
                <w:bCs/>
              </w:rPr>
              <w:t xml:space="preserve">Time and resource is committed to engagement and </w:t>
            </w:r>
            <w:r w:rsidR="00330077" w:rsidRPr="00AB6D75">
              <w:rPr>
                <w:rFonts w:ascii="Arial" w:hAnsi="Arial" w:cs="Arial"/>
                <w:bCs/>
              </w:rPr>
              <w:t>involvement.</w:t>
            </w:r>
          </w:p>
        </w:tc>
        <w:tc>
          <w:tcPr>
            <w:tcW w:w="2835" w:type="dxa"/>
          </w:tcPr>
          <w:p w14:paraId="46A5938D" w14:textId="60123646" w:rsidR="00E74A38" w:rsidRPr="00AB6D75" w:rsidRDefault="00281A1D" w:rsidP="00330077">
            <w:pPr>
              <w:pStyle w:val="NormalWeb"/>
              <w:rPr>
                <w:rFonts w:ascii="Arial" w:hAnsi="Arial" w:cs="Arial"/>
                <w:bCs/>
              </w:rPr>
            </w:pPr>
            <w:r w:rsidRPr="00AB6D75">
              <w:rPr>
                <w:rFonts w:ascii="Arial" w:hAnsi="Arial" w:cs="Arial"/>
                <w:bCs/>
              </w:rPr>
              <w:t xml:space="preserve">Active engagement and consultation takes place with services users and those </w:t>
            </w:r>
            <w:r w:rsidR="008738E0" w:rsidRPr="00AB6D75">
              <w:rPr>
                <w:rFonts w:ascii="Arial" w:hAnsi="Arial" w:cs="Arial"/>
                <w:bCs/>
              </w:rPr>
              <w:t>a</w:t>
            </w:r>
            <w:r w:rsidRPr="00AB6D75">
              <w:rPr>
                <w:rFonts w:ascii="Arial" w:hAnsi="Arial" w:cs="Arial"/>
                <w:bCs/>
              </w:rPr>
              <w:t>ffected by the decision to understand inequalities of outcome experienced and the impact of the decision.</w:t>
            </w:r>
          </w:p>
          <w:p w14:paraId="617930C8" w14:textId="16118A55" w:rsidR="00281A1D" w:rsidRPr="00AB6D75" w:rsidRDefault="00281A1D" w:rsidP="00330077">
            <w:pPr>
              <w:pStyle w:val="NormalWeb"/>
              <w:rPr>
                <w:rFonts w:ascii="Arial" w:hAnsi="Arial" w:cs="Arial"/>
                <w:bCs/>
              </w:rPr>
            </w:pPr>
            <w:r w:rsidRPr="00AB6D75">
              <w:rPr>
                <w:rFonts w:ascii="Arial" w:hAnsi="Arial" w:cs="Arial"/>
              </w:rPr>
              <w:t>Engagement involves people with protected characteristics and those that are socio economically disadvantaged, across both communities of place and interest, and considering intersectionality.</w:t>
            </w:r>
          </w:p>
          <w:p w14:paraId="2A28E77D" w14:textId="591A4FEE" w:rsidR="00281A1D" w:rsidRPr="00AB6D75" w:rsidRDefault="00281A1D" w:rsidP="00330077">
            <w:pPr>
              <w:pStyle w:val="NormalWeb"/>
              <w:rPr>
                <w:rFonts w:ascii="Arial" w:hAnsi="Arial" w:cs="Arial"/>
                <w:bCs/>
              </w:rPr>
            </w:pPr>
          </w:p>
        </w:tc>
        <w:tc>
          <w:tcPr>
            <w:tcW w:w="2977" w:type="dxa"/>
          </w:tcPr>
          <w:p w14:paraId="16B4B93A" w14:textId="5C057DF9" w:rsidR="00E74A38" w:rsidRPr="00AB6D75" w:rsidRDefault="00C030E8" w:rsidP="00330077">
            <w:pPr>
              <w:pStyle w:val="NoSpacing"/>
              <w:rPr>
                <w:rFonts w:ascii="Arial" w:hAnsi="Arial" w:cs="Arial"/>
              </w:rPr>
            </w:pPr>
            <w:r w:rsidRPr="00AB6D75">
              <w:rPr>
                <w:rFonts w:ascii="Arial" w:hAnsi="Arial" w:cs="Arial"/>
              </w:rPr>
              <w:t>E</w:t>
            </w:r>
            <w:r w:rsidR="00281A1D" w:rsidRPr="00AB6D75">
              <w:rPr>
                <w:rFonts w:ascii="Arial" w:hAnsi="Arial" w:cs="Arial"/>
              </w:rPr>
              <w:t>ngagement plan</w:t>
            </w:r>
            <w:r w:rsidRPr="00AB6D75">
              <w:rPr>
                <w:rFonts w:ascii="Arial" w:hAnsi="Arial" w:cs="Arial"/>
              </w:rPr>
              <w:t xml:space="preserve">s are in place that </w:t>
            </w:r>
            <w:r w:rsidR="00700F58" w:rsidRPr="00AB6D75">
              <w:rPr>
                <w:rFonts w:ascii="Arial" w:hAnsi="Arial" w:cs="Arial"/>
              </w:rPr>
              <w:t xml:space="preserve">detail action </w:t>
            </w:r>
            <w:r w:rsidR="001366F1" w:rsidRPr="00AB6D75">
              <w:rPr>
                <w:rFonts w:ascii="Arial" w:hAnsi="Arial" w:cs="Arial"/>
              </w:rPr>
              <w:t xml:space="preserve">to engage and involve people </w:t>
            </w:r>
            <w:r w:rsidR="00700F58" w:rsidRPr="00AB6D75">
              <w:rPr>
                <w:rFonts w:ascii="Arial" w:hAnsi="Arial" w:cs="Arial"/>
              </w:rPr>
              <w:t xml:space="preserve">in the work of a </w:t>
            </w:r>
            <w:r w:rsidRPr="00AB6D75">
              <w:rPr>
                <w:rFonts w:ascii="Arial" w:hAnsi="Arial" w:cs="Arial"/>
              </w:rPr>
              <w:t xml:space="preserve">policy area, division or </w:t>
            </w:r>
            <w:r w:rsidR="00700F58" w:rsidRPr="00AB6D75">
              <w:rPr>
                <w:rFonts w:ascii="Arial" w:hAnsi="Arial" w:cs="Arial"/>
              </w:rPr>
              <w:t>the whole organisation. Plans</w:t>
            </w:r>
            <w:r w:rsidR="0012634A" w:rsidRPr="00AB6D75">
              <w:rPr>
                <w:rFonts w:ascii="Arial" w:hAnsi="Arial" w:cs="Arial"/>
              </w:rPr>
              <w:t xml:space="preserve"> are in place for the long term.</w:t>
            </w:r>
          </w:p>
          <w:p w14:paraId="65AC87DE" w14:textId="77777777" w:rsidR="00281A1D" w:rsidRPr="00AB6D75" w:rsidRDefault="00281A1D" w:rsidP="00330077">
            <w:pPr>
              <w:pStyle w:val="NoSpacing"/>
              <w:rPr>
                <w:rFonts w:ascii="Arial" w:hAnsi="Arial" w:cs="Arial"/>
              </w:rPr>
            </w:pPr>
          </w:p>
          <w:p w14:paraId="7E456C8A" w14:textId="7B00213A" w:rsidR="00281A1D" w:rsidRPr="00AB6D75" w:rsidRDefault="00281A1D" w:rsidP="00330077">
            <w:pPr>
              <w:pStyle w:val="NoSpacing"/>
              <w:rPr>
                <w:rFonts w:ascii="Arial" w:hAnsi="Arial" w:cs="Arial"/>
                <w:bCs/>
              </w:rPr>
            </w:pPr>
            <w:r w:rsidRPr="00AB6D75">
              <w:rPr>
                <w:rFonts w:ascii="Arial" w:hAnsi="Arial" w:cs="Arial"/>
              </w:rPr>
              <w:t>People and communities are proactively involved in the development of decisions and policies</w:t>
            </w:r>
          </w:p>
        </w:tc>
        <w:tc>
          <w:tcPr>
            <w:tcW w:w="2693" w:type="dxa"/>
          </w:tcPr>
          <w:p w14:paraId="6F7EB5F4" w14:textId="3007CD10" w:rsidR="00E74A38" w:rsidRPr="00AB6D75" w:rsidRDefault="00700F58" w:rsidP="00330077">
            <w:pPr>
              <w:pStyle w:val="NoSpacing"/>
              <w:rPr>
                <w:rFonts w:ascii="Arial" w:hAnsi="Arial" w:cs="Arial"/>
              </w:rPr>
            </w:pPr>
            <w:r w:rsidRPr="00AB6D75">
              <w:rPr>
                <w:rFonts w:ascii="Arial" w:hAnsi="Arial" w:cs="Arial"/>
              </w:rPr>
              <w:t>Engagement plans are delivered through a collaborative approach, where</w:t>
            </w:r>
            <w:r w:rsidR="00281A1D" w:rsidRPr="00AB6D75">
              <w:rPr>
                <w:rFonts w:ascii="Arial" w:hAnsi="Arial" w:cs="Arial"/>
              </w:rPr>
              <w:t xml:space="preserve"> public bodies and third sector bodies </w:t>
            </w:r>
            <w:r w:rsidRPr="00AB6D75">
              <w:rPr>
                <w:rFonts w:ascii="Arial" w:hAnsi="Arial" w:cs="Arial"/>
              </w:rPr>
              <w:t xml:space="preserve">work in partnership </w:t>
            </w:r>
            <w:r w:rsidR="00281A1D" w:rsidRPr="00AB6D75">
              <w:rPr>
                <w:rFonts w:ascii="Arial" w:hAnsi="Arial" w:cs="Arial"/>
              </w:rPr>
              <w:t xml:space="preserve">to engage </w:t>
            </w:r>
            <w:r w:rsidRPr="00AB6D75">
              <w:rPr>
                <w:rFonts w:ascii="Arial" w:hAnsi="Arial" w:cs="Arial"/>
              </w:rPr>
              <w:t>a</w:t>
            </w:r>
            <w:r w:rsidR="00281A1D" w:rsidRPr="00AB6D75">
              <w:rPr>
                <w:rFonts w:ascii="Arial" w:hAnsi="Arial" w:cs="Arial"/>
              </w:rPr>
              <w:t>nd involve people and communities</w:t>
            </w:r>
            <w:r w:rsidRPr="00AB6D75">
              <w:rPr>
                <w:rFonts w:ascii="Arial" w:hAnsi="Arial" w:cs="Arial"/>
              </w:rPr>
              <w:t>.</w:t>
            </w:r>
          </w:p>
          <w:p w14:paraId="76FED5DA" w14:textId="295EFF70" w:rsidR="00281A1D" w:rsidRPr="00AB6D75" w:rsidRDefault="00281A1D" w:rsidP="00330077">
            <w:pPr>
              <w:pStyle w:val="NoSpacing"/>
              <w:rPr>
                <w:rFonts w:ascii="Arial" w:hAnsi="Arial" w:cs="Arial"/>
              </w:rPr>
            </w:pPr>
          </w:p>
          <w:p w14:paraId="5AF9820D" w14:textId="77777777" w:rsidR="00FE3491" w:rsidRPr="00AB6D75" w:rsidRDefault="0048348E" w:rsidP="00330077">
            <w:pPr>
              <w:pStyle w:val="NoSpacing"/>
              <w:rPr>
                <w:rFonts w:ascii="Arial" w:hAnsi="Arial" w:cs="Arial"/>
              </w:rPr>
            </w:pPr>
            <w:r w:rsidRPr="00AB6D75">
              <w:rPr>
                <w:rFonts w:ascii="Arial" w:hAnsi="Arial" w:cs="Arial"/>
              </w:rPr>
              <w:t>Those engaged with are</w:t>
            </w:r>
            <w:r w:rsidR="00281A1D" w:rsidRPr="00AB6D75">
              <w:rPr>
                <w:rFonts w:ascii="Arial" w:hAnsi="Arial" w:cs="Arial"/>
              </w:rPr>
              <w:t xml:space="preserve"> kept involved of the </w:t>
            </w:r>
            <w:r w:rsidR="00EA563D" w:rsidRPr="00AB6D75">
              <w:rPr>
                <w:rFonts w:ascii="Arial" w:hAnsi="Arial" w:cs="Arial"/>
              </w:rPr>
              <w:t xml:space="preserve">progress of the </w:t>
            </w:r>
            <w:r w:rsidR="00281A1D" w:rsidRPr="00AB6D75">
              <w:rPr>
                <w:rFonts w:ascii="Arial" w:hAnsi="Arial" w:cs="Arial"/>
              </w:rPr>
              <w:t xml:space="preserve">decision and the impact of their </w:t>
            </w:r>
            <w:r w:rsidR="00EA563D" w:rsidRPr="00AB6D75">
              <w:rPr>
                <w:rFonts w:ascii="Arial" w:hAnsi="Arial" w:cs="Arial"/>
              </w:rPr>
              <w:t>involvement</w:t>
            </w:r>
            <w:r w:rsidR="00281A1D" w:rsidRPr="00AB6D75">
              <w:rPr>
                <w:rFonts w:ascii="Arial" w:hAnsi="Arial" w:cs="Arial"/>
              </w:rPr>
              <w:t xml:space="preserve">. </w:t>
            </w:r>
          </w:p>
          <w:p w14:paraId="4232D96B" w14:textId="77777777" w:rsidR="00FE3491" w:rsidRPr="00AB6D75" w:rsidRDefault="00FE3491" w:rsidP="00330077">
            <w:pPr>
              <w:pStyle w:val="NoSpacing"/>
              <w:rPr>
                <w:rFonts w:ascii="Arial" w:hAnsi="Arial" w:cs="Arial"/>
              </w:rPr>
            </w:pPr>
          </w:p>
          <w:p w14:paraId="3C7A2D40" w14:textId="270CA696" w:rsidR="00281A1D" w:rsidRPr="00AB6D75" w:rsidRDefault="00EA563D" w:rsidP="00330077">
            <w:pPr>
              <w:pStyle w:val="NoSpacing"/>
              <w:rPr>
                <w:rFonts w:ascii="Arial" w:hAnsi="Arial" w:cs="Arial"/>
              </w:rPr>
            </w:pPr>
            <w:r w:rsidRPr="00AB6D75">
              <w:rPr>
                <w:rFonts w:ascii="Arial" w:hAnsi="Arial" w:cs="Arial"/>
              </w:rPr>
              <w:t>Ongoing dialog</w:t>
            </w:r>
            <w:r w:rsidR="00B2547F" w:rsidRPr="00AB6D75">
              <w:rPr>
                <w:rFonts w:ascii="Arial" w:hAnsi="Arial" w:cs="Arial"/>
              </w:rPr>
              <w:t>ue</w:t>
            </w:r>
            <w:r w:rsidRPr="00AB6D75">
              <w:rPr>
                <w:rFonts w:ascii="Arial" w:hAnsi="Arial" w:cs="Arial"/>
              </w:rPr>
              <w:t xml:space="preserve"> is in place</w:t>
            </w:r>
          </w:p>
          <w:p w14:paraId="6B173764" w14:textId="77777777" w:rsidR="00E74A38" w:rsidRPr="00AB6D75" w:rsidRDefault="00E74A38" w:rsidP="00330077">
            <w:pPr>
              <w:pStyle w:val="NoSpacing"/>
              <w:rPr>
                <w:rFonts w:ascii="Arial" w:hAnsi="Arial" w:cs="Arial"/>
              </w:rPr>
            </w:pPr>
          </w:p>
          <w:p w14:paraId="74B4EAF1" w14:textId="77777777" w:rsidR="00E74A38" w:rsidRPr="00AB6D75" w:rsidRDefault="00E74A38" w:rsidP="00330077">
            <w:pPr>
              <w:pStyle w:val="NormalWeb"/>
              <w:jc w:val="center"/>
              <w:rPr>
                <w:rFonts w:ascii="Arial" w:hAnsi="Arial" w:cs="Arial"/>
                <w:bCs/>
              </w:rPr>
            </w:pPr>
          </w:p>
        </w:tc>
      </w:tr>
      <w:tr w:rsidR="00E74A38" w:rsidRPr="00AB6D75" w14:paraId="44AF80D5" w14:textId="77777777" w:rsidTr="00AB6D75">
        <w:trPr>
          <w:trHeight w:val="588"/>
        </w:trPr>
        <w:tc>
          <w:tcPr>
            <w:tcW w:w="3397" w:type="dxa"/>
            <w:shd w:val="clear" w:color="auto" w:fill="DBDBDB" w:themeFill="accent3" w:themeFillTint="66"/>
          </w:tcPr>
          <w:p w14:paraId="0AEFB0F9" w14:textId="77777777" w:rsidR="00E74A38" w:rsidRPr="00AB6D75" w:rsidRDefault="00E74A38" w:rsidP="00330077">
            <w:pPr>
              <w:pStyle w:val="NormalWeb"/>
              <w:spacing w:before="0" w:beforeAutospacing="0" w:after="0" w:afterAutospacing="0"/>
              <w:rPr>
                <w:rFonts w:ascii="Arial" w:hAnsi="Arial" w:cs="Arial"/>
                <w:b/>
                <w:bCs/>
                <w:iCs/>
              </w:rPr>
            </w:pPr>
            <w:r w:rsidRPr="00AB6D75">
              <w:rPr>
                <w:rFonts w:ascii="Arial" w:hAnsi="Arial" w:cs="Arial"/>
                <w:b/>
                <w:bCs/>
                <w:iCs/>
              </w:rPr>
              <w:t>Summary – your key points on the stage reached in the journey and future direction of travel</w:t>
            </w:r>
          </w:p>
        </w:tc>
        <w:tc>
          <w:tcPr>
            <w:tcW w:w="11482" w:type="dxa"/>
            <w:gridSpan w:val="4"/>
            <w:shd w:val="clear" w:color="auto" w:fill="auto"/>
          </w:tcPr>
          <w:p w14:paraId="2864F8F4" w14:textId="77777777" w:rsidR="00E74A38" w:rsidRPr="00AB6D75" w:rsidRDefault="00E74A38" w:rsidP="00330077">
            <w:pPr>
              <w:rPr>
                <w:rFonts w:ascii="Arial" w:hAnsi="Arial" w:cs="Arial"/>
              </w:rPr>
            </w:pPr>
          </w:p>
        </w:tc>
      </w:tr>
    </w:tbl>
    <w:p w14:paraId="3F9BB0DA" w14:textId="77777777" w:rsidR="00624E17" w:rsidRPr="00AB6D75" w:rsidRDefault="00624E17" w:rsidP="001114FC">
      <w:pPr>
        <w:rPr>
          <w:rFonts w:ascii="Calibri" w:hAnsi="Calibri" w:cs="Times New Roman"/>
          <w:sz w:val="22"/>
          <w:szCs w:val="22"/>
        </w:rPr>
      </w:pPr>
    </w:p>
    <w:sectPr w:rsidR="00624E17" w:rsidRPr="00AB6D75" w:rsidSect="007F7D8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C0C5" w14:textId="77777777" w:rsidR="00155A2B" w:rsidRDefault="00155A2B" w:rsidP="00CD21B4">
      <w:r>
        <w:separator/>
      </w:r>
    </w:p>
  </w:endnote>
  <w:endnote w:type="continuationSeparator" w:id="0">
    <w:p w14:paraId="60F25DB9" w14:textId="77777777" w:rsidR="00155A2B" w:rsidRDefault="00155A2B" w:rsidP="00CD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9073" w14:textId="77777777" w:rsidR="00155A2B" w:rsidRDefault="00155A2B" w:rsidP="00CD21B4">
      <w:r>
        <w:separator/>
      </w:r>
    </w:p>
  </w:footnote>
  <w:footnote w:type="continuationSeparator" w:id="0">
    <w:p w14:paraId="711C1224" w14:textId="77777777" w:rsidR="00155A2B" w:rsidRDefault="00155A2B" w:rsidP="00CD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08"/>
    <w:multiLevelType w:val="hybridMultilevel"/>
    <w:tmpl w:val="8E50F5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FF5"/>
    <w:multiLevelType w:val="hybridMultilevel"/>
    <w:tmpl w:val="1C8218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62B5"/>
    <w:multiLevelType w:val="hybridMultilevel"/>
    <w:tmpl w:val="18D61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830A5"/>
    <w:multiLevelType w:val="hybridMultilevel"/>
    <w:tmpl w:val="B29A5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6842"/>
    <w:multiLevelType w:val="hybridMultilevel"/>
    <w:tmpl w:val="485E9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A49F5"/>
    <w:multiLevelType w:val="hybridMultilevel"/>
    <w:tmpl w:val="E2A6B176"/>
    <w:lvl w:ilvl="0" w:tplc="961C2AD6">
      <w:start w:val="1"/>
      <w:numFmt w:val="bullet"/>
      <w:lvlText w:val=""/>
      <w:lvlJc w:val="left"/>
      <w:pPr>
        <w:ind w:left="720" w:hanging="360"/>
      </w:pPr>
      <w:rPr>
        <w:rFonts w:ascii="Symbol" w:hAnsi="Symbol" w:hint="default"/>
        <w:color w:val="auto"/>
      </w:rPr>
    </w:lvl>
    <w:lvl w:ilvl="1" w:tplc="0090F5F2">
      <w:start w:val="1"/>
      <w:numFmt w:val="bullet"/>
      <w:lvlText w:val="o"/>
      <w:lvlJc w:val="left"/>
      <w:pPr>
        <w:ind w:left="1440" w:hanging="360"/>
      </w:pPr>
      <w:rPr>
        <w:rFonts w:ascii="Courier New" w:hAnsi="Courier New" w:hint="default"/>
      </w:rPr>
    </w:lvl>
    <w:lvl w:ilvl="2" w:tplc="C76AD876">
      <w:start w:val="1"/>
      <w:numFmt w:val="bullet"/>
      <w:lvlText w:val=""/>
      <w:lvlJc w:val="left"/>
      <w:pPr>
        <w:ind w:left="2160" w:hanging="360"/>
      </w:pPr>
      <w:rPr>
        <w:rFonts w:ascii="Wingdings" w:hAnsi="Wingdings" w:hint="default"/>
      </w:rPr>
    </w:lvl>
    <w:lvl w:ilvl="3" w:tplc="D2861B86">
      <w:start w:val="1"/>
      <w:numFmt w:val="bullet"/>
      <w:lvlText w:val=""/>
      <w:lvlJc w:val="left"/>
      <w:pPr>
        <w:ind w:left="2880" w:hanging="360"/>
      </w:pPr>
      <w:rPr>
        <w:rFonts w:ascii="Symbol" w:hAnsi="Symbol" w:hint="default"/>
      </w:rPr>
    </w:lvl>
    <w:lvl w:ilvl="4" w:tplc="4C167D36">
      <w:start w:val="1"/>
      <w:numFmt w:val="bullet"/>
      <w:lvlText w:val="o"/>
      <w:lvlJc w:val="left"/>
      <w:pPr>
        <w:ind w:left="3600" w:hanging="360"/>
      </w:pPr>
      <w:rPr>
        <w:rFonts w:ascii="Courier New" w:hAnsi="Courier New" w:hint="default"/>
      </w:rPr>
    </w:lvl>
    <w:lvl w:ilvl="5" w:tplc="23364C02">
      <w:start w:val="1"/>
      <w:numFmt w:val="bullet"/>
      <w:lvlText w:val=""/>
      <w:lvlJc w:val="left"/>
      <w:pPr>
        <w:ind w:left="4320" w:hanging="360"/>
      </w:pPr>
      <w:rPr>
        <w:rFonts w:ascii="Wingdings" w:hAnsi="Wingdings" w:hint="default"/>
      </w:rPr>
    </w:lvl>
    <w:lvl w:ilvl="6" w:tplc="4434E050">
      <w:start w:val="1"/>
      <w:numFmt w:val="bullet"/>
      <w:lvlText w:val=""/>
      <w:lvlJc w:val="left"/>
      <w:pPr>
        <w:ind w:left="5040" w:hanging="360"/>
      </w:pPr>
      <w:rPr>
        <w:rFonts w:ascii="Symbol" w:hAnsi="Symbol" w:hint="default"/>
      </w:rPr>
    </w:lvl>
    <w:lvl w:ilvl="7" w:tplc="0E0AEE9C">
      <w:start w:val="1"/>
      <w:numFmt w:val="bullet"/>
      <w:lvlText w:val="o"/>
      <w:lvlJc w:val="left"/>
      <w:pPr>
        <w:ind w:left="5760" w:hanging="360"/>
      </w:pPr>
      <w:rPr>
        <w:rFonts w:ascii="Courier New" w:hAnsi="Courier New" w:hint="default"/>
      </w:rPr>
    </w:lvl>
    <w:lvl w:ilvl="8" w:tplc="6C961BBA">
      <w:start w:val="1"/>
      <w:numFmt w:val="bullet"/>
      <w:lvlText w:val=""/>
      <w:lvlJc w:val="left"/>
      <w:pPr>
        <w:ind w:left="6480" w:hanging="360"/>
      </w:pPr>
      <w:rPr>
        <w:rFonts w:ascii="Wingdings" w:hAnsi="Wingdings" w:hint="default"/>
      </w:rPr>
    </w:lvl>
  </w:abstractNum>
  <w:abstractNum w:abstractNumId="6" w15:restartNumberingAfterBreak="0">
    <w:nsid w:val="1C4F2F3C"/>
    <w:multiLevelType w:val="hybridMultilevel"/>
    <w:tmpl w:val="B68822C8"/>
    <w:lvl w:ilvl="0" w:tplc="961C2A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0609"/>
    <w:multiLevelType w:val="hybridMultilevel"/>
    <w:tmpl w:val="710C6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25CD"/>
    <w:multiLevelType w:val="hybridMultilevel"/>
    <w:tmpl w:val="AC9ED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3482E"/>
    <w:multiLevelType w:val="hybridMultilevel"/>
    <w:tmpl w:val="BE9A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F3DD9"/>
    <w:multiLevelType w:val="hybridMultilevel"/>
    <w:tmpl w:val="D146E0E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D647C0"/>
    <w:multiLevelType w:val="hybridMultilevel"/>
    <w:tmpl w:val="85FEFD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47D31"/>
    <w:multiLevelType w:val="hybridMultilevel"/>
    <w:tmpl w:val="29C26E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61A7"/>
    <w:multiLevelType w:val="hybridMultilevel"/>
    <w:tmpl w:val="9518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25283"/>
    <w:multiLevelType w:val="hybridMultilevel"/>
    <w:tmpl w:val="2D789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4429C"/>
    <w:multiLevelType w:val="hybridMultilevel"/>
    <w:tmpl w:val="EBDE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468B6"/>
    <w:multiLevelType w:val="hybridMultilevel"/>
    <w:tmpl w:val="144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A3225"/>
    <w:multiLevelType w:val="hybridMultilevel"/>
    <w:tmpl w:val="04D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C4A6B"/>
    <w:multiLevelType w:val="hybridMultilevel"/>
    <w:tmpl w:val="5914C2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57E39"/>
    <w:multiLevelType w:val="hybridMultilevel"/>
    <w:tmpl w:val="3C5053D2"/>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BF7D88"/>
    <w:multiLevelType w:val="hybridMultilevel"/>
    <w:tmpl w:val="199833D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A7ED7"/>
    <w:multiLevelType w:val="hybridMultilevel"/>
    <w:tmpl w:val="B36E170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953B2"/>
    <w:multiLevelType w:val="hybridMultilevel"/>
    <w:tmpl w:val="150E2112"/>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93AA2"/>
    <w:multiLevelType w:val="hybridMultilevel"/>
    <w:tmpl w:val="3F702E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021E3"/>
    <w:multiLevelType w:val="hybridMultilevel"/>
    <w:tmpl w:val="566002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35299"/>
    <w:multiLevelType w:val="hybridMultilevel"/>
    <w:tmpl w:val="DDF814EC"/>
    <w:lvl w:ilvl="0" w:tplc="1E10C7A8">
      <w:start w:val="1"/>
      <w:numFmt w:val="bullet"/>
      <w:lvlText w:val=""/>
      <w:lvlJc w:val="left"/>
      <w:pPr>
        <w:ind w:left="720" w:hanging="360"/>
      </w:pPr>
      <w:rPr>
        <w:rFonts w:ascii="Wingdings" w:hAnsi="Wingdings" w:hint="default"/>
      </w:rPr>
    </w:lvl>
    <w:lvl w:ilvl="1" w:tplc="26BA355C">
      <w:start w:val="1"/>
      <w:numFmt w:val="bullet"/>
      <w:lvlText w:val="o"/>
      <w:lvlJc w:val="left"/>
      <w:pPr>
        <w:ind w:left="1440" w:hanging="360"/>
      </w:pPr>
      <w:rPr>
        <w:rFonts w:ascii="Courier New" w:hAnsi="Courier New" w:hint="default"/>
      </w:rPr>
    </w:lvl>
    <w:lvl w:ilvl="2" w:tplc="6B9A504E">
      <w:start w:val="1"/>
      <w:numFmt w:val="bullet"/>
      <w:lvlText w:val=""/>
      <w:lvlJc w:val="left"/>
      <w:pPr>
        <w:ind w:left="2160" w:hanging="360"/>
      </w:pPr>
      <w:rPr>
        <w:rFonts w:ascii="Wingdings" w:hAnsi="Wingdings" w:hint="default"/>
      </w:rPr>
    </w:lvl>
    <w:lvl w:ilvl="3" w:tplc="23D06C54">
      <w:start w:val="1"/>
      <w:numFmt w:val="bullet"/>
      <w:lvlText w:val=""/>
      <w:lvlJc w:val="left"/>
      <w:pPr>
        <w:ind w:left="2880" w:hanging="360"/>
      </w:pPr>
      <w:rPr>
        <w:rFonts w:ascii="Symbol" w:hAnsi="Symbol" w:hint="default"/>
      </w:rPr>
    </w:lvl>
    <w:lvl w:ilvl="4" w:tplc="4DA895BC">
      <w:start w:val="1"/>
      <w:numFmt w:val="bullet"/>
      <w:lvlText w:val="o"/>
      <w:lvlJc w:val="left"/>
      <w:pPr>
        <w:ind w:left="3600" w:hanging="360"/>
      </w:pPr>
      <w:rPr>
        <w:rFonts w:ascii="Courier New" w:hAnsi="Courier New" w:hint="default"/>
      </w:rPr>
    </w:lvl>
    <w:lvl w:ilvl="5" w:tplc="DF2E6398">
      <w:start w:val="1"/>
      <w:numFmt w:val="bullet"/>
      <w:lvlText w:val=""/>
      <w:lvlJc w:val="left"/>
      <w:pPr>
        <w:ind w:left="4320" w:hanging="360"/>
      </w:pPr>
      <w:rPr>
        <w:rFonts w:ascii="Wingdings" w:hAnsi="Wingdings" w:hint="default"/>
      </w:rPr>
    </w:lvl>
    <w:lvl w:ilvl="6" w:tplc="580E795C">
      <w:start w:val="1"/>
      <w:numFmt w:val="bullet"/>
      <w:lvlText w:val=""/>
      <w:lvlJc w:val="left"/>
      <w:pPr>
        <w:ind w:left="5040" w:hanging="360"/>
      </w:pPr>
      <w:rPr>
        <w:rFonts w:ascii="Symbol" w:hAnsi="Symbol" w:hint="default"/>
      </w:rPr>
    </w:lvl>
    <w:lvl w:ilvl="7" w:tplc="6212A3C0">
      <w:start w:val="1"/>
      <w:numFmt w:val="bullet"/>
      <w:lvlText w:val="o"/>
      <w:lvlJc w:val="left"/>
      <w:pPr>
        <w:ind w:left="5760" w:hanging="360"/>
      </w:pPr>
      <w:rPr>
        <w:rFonts w:ascii="Courier New" w:hAnsi="Courier New" w:hint="default"/>
      </w:rPr>
    </w:lvl>
    <w:lvl w:ilvl="8" w:tplc="6972BC94">
      <w:start w:val="1"/>
      <w:numFmt w:val="bullet"/>
      <w:lvlText w:val=""/>
      <w:lvlJc w:val="left"/>
      <w:pPr>
        <w:ind w:left="6480" w:hanging="360"/>
      </w:pPr>
      <w:rPr>
        <w:rFonts w:ascii="Wingdings" w:hAnsi="Wingdings" w:hint="default"/>
      </w:rPr>
    </w:lvl>
  </w:abstractNum>
  <w:abstractNum w:abstractNumId="26" w15:restartNumberingAfterBreak="0">
    <w:nsid w:val="7EAF6698"/>
    <w:multiLevelType w:val="hybridMultilevel"/>
    <w:tmpl w:val="62E0A670"/>
    <w:lvl w:ilvl="0" w:tplc="88C0B2BC">
      <w:start w:val="1"/>
      <w:numFmt w:val="bullet"/>
      <w:lvlText w:val=""/>
      <w:lvlJc w:val="left"/>
      <w:pPr>
        <w:ind w:left="720" w:hanging="360"/>
      </w:pPr>
      <w:rPr>
        <w:rFonts w:ascii="Symbol" w:hAnsi="Symbol" w:hint="default"/>
      </w:rPr>
    </w:lvl>
    <w:lvl w:ilvl="1" w:tplc="5ECE9B8C">
      <w:start w:val="1"/>
      <w:numFmt w:val="bullet"/>
      <w:lvlText w:val="o"/>
      <w:lvlJc w:val="left"/>
      <w:pPr>
        <w:ind w:left="1440" w:hanging="360"/>
      </w:pPr>
      <w:rPr>
        <w:rFonts w:ascii="Courier New" w:hAnsi="Courier New" w:hint="default"/>
      </w:rPr>
    </w:lvl>
    <w:lvl w:ilvl="2" w:tplc="B120BFC8">
      <w:start w:val="1"/>
      <w:numFmt w:val="bullet"/>
      <w:lvlText w:val=""/>
      <w:lvlJc w:val="left"/>
      <w:pPr>
        <w:ind w:left="2160" w:hanging="360"/>
      </w:pPr>
      <w:rPr>
        <w:rFonts w:ascii="Wingdings" w:hAnsi="Wingdings" w:hint="default"/>
      </w:rPr>
    </w:lvl>
    <w:lvl w:ilvl="3" w:tplc="E886EB98">
      <w:start w:val="1"/>
      <w:numFmt w:val="bullet"/>
      <w:lvlText w:val=""/>
      <w:lvlJc w:val="left"/>
      <w:pPr>
        <w:ind w:left="2880" w:hanging="360"/>
      </w:pPr>
      <w:rPr>
        <w:rFonts w:ascii="Symbol" w:hAnsi="Symbol" w:hint="default"/>
      </w:rPr>
    </w:lvl>
    <w:lvl w:ilvl="4" w:tplc="B936F864">
      <w:start w:val="1"/>
      <w:numFmt w:val="bullet"/>
      <w:lvlText w:val="o"/>
      <w:lvlJc w:val="left"/>
      <w:pPr>
        <w:ind w:left="3600" w:hanging="360"/>
      </w:pPr>
      <w:rPr>
        <w:rFonts w:ascii="Courier New" w:hAnsi="Courier New" w:hint="default"/>
      </w:rPr>
    </w:lvl>
    <w:lvl w:ilvl="5" w:tplc="DAC8A7A6">
      <w:start w:val="1"/>
      <w:numFmt w:val="bullet"/>
      <w:lvlText w:val=""/>
      <w:lvlJc w:val="left"/>
      <w:pPr>
        <w:ind w:left="4320" w:hanging="360"/>
      </w:pPr>
      <w:rPr>
        <w:rFonts w:ascii="Wingdings" w:hAnsi="Wingdings" w:hint="default"/>
      </w:rPr>
    </w:lvl>
    <w:lvl w:ilvl="6" w:tplc="089EE4CA">
      <w:start w:val="1"/>
      <w:numFmt w:val="bullet"/>
      <w:lvlText w:val=""/>
      <w:lvlJc w:val="left"/>
      <w:pPr>
        <w:ind w:left="5040" w:hanging="360"/>
      </w:pPr>
      <w:rPr>
        <w:rFonts w:ascii="Symbol" w:hAnsi="Symbol" w:hint="default"/>
      </w:rPr>
    </w:lvl>
    <w:lvl w:ilvl="7" w:tplc="A39C0B08">
      <w:start w:val="1"/>
      <w:numFmt w:val="bullet"/>
      <w:lvlText w:val="o"/>
      <w:lvlJc w:val="left"/>
      <w:pPr>
        <w:ind w:left="5760" w:hanging="360"/>
      </w:pPr>
      <w:rPr>
        <w:rFonts w:ascii="Courier New" w:hAnsi="Courier New" w:hint="default"/>
      </w:rPr>
    </w:lvl>
    <w:lvl w:ilvl="8" w:tplc="B23AEA76">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5"/>
  </w:num>
  <w:num w:numId="4">
    <w:abstractNumId w:val="2"/>
  </w:num>
  <w:num w:numId="5">
    <w:abstractNumId w:val="22"/>
  </w:num>
  <w:num w:numId="6">
    <w:abstractNumId w:val="19"/>
  </w:num>
  <w:num w:numId="7">
    <w:abstractNumId w:val="20"/>
  </w:num>
  <w:num w:numId="8">
    <w:abstractNumId w:val="17"/>
  </w:num>
  <w:num w:numId="9">
    <w:abstractNumId w:val="6"/>
  </w:num>
  <w:num w:numId="10">
    <w:abstractNumId w:val="15"/>
  </w:num>
  <w:num w:numId="11">
    <w:abstractNumId w:val="14"/>
  </w:num>
  <w:num w:numId="12">
    <w:abstractNumId w:val="4"/>
  </w:num>
  <w:num w:numId="13">
    <w:abstractNumId w:val="13"/>
  </w:num>
  <w:num w:numId="14">
    <w:abstractNumId w:val="16"/>
  </w:num>
  <w:num w:numId="15">
    <w:abstractNumId w:val="9"/>
  </w:num>
  <w:num w:numId="16">
    <w:abstractNumId w:val="1"/>
  </w:num>
  <w:num w:numId="17">
    <w:abstractNumId w:val="11"/>
  </w:num>
  <w:num w:numId="18">
    <w:abstractNumId w:val="24"/>
  </w:num>
  <w:num w:numId="19">
    <w:abstractNumId w:val="18"/>
  </w:num>
  <w:num w:numId="20">
    <w:abstractNumId w:val="3"/>
  </w:num>
  <w:num w:numId="21">
    <w:abstractNumId w:val="23"/>
  </w:num>
  <w:num w:numId="22">
    <w:abstractNumId w:val="7"/>
  </w:num>
  <w:num w:numId="23">
    <w:abstractNumId w:val="8"/>
  </w:num>
  <w:num w:numId="24">
    <w:abstractNumId w:val="12"/>
  </w:num>
  <w:num w:numId="25">
    <w:abstractNumId w:val="10"/>
  </w:num>
  <w:num w:numId="26">
    <w:abstractNumId w:val="0"/>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72"/>
    <w:rsid w:val="00001F89"/>
    <w:rsid w:val="00005C73"/>
    <w:rsid w:val="0001194C"/>
    <w:rsid w:val="000204C3"/>
    <w:rsid w:val="000208AE"/>
    <w:rsid w:val="00023CA3"/>
    <w:rsid w:val="00025311"/>
    <w:rsid w:val="0003214B"/>
    <w:rsid w:val="00033A5B"/>
    <w:rsid w:val="00034030"/>
    <w:rsid w:val="00035BE4"/>
    <w:rsid w:val="000377D2"/>
    <w:rsid w:val="00041504"/>
    <w:rsid w:val="0004440F"/>
    <w:rsid w:val="0004602F"/>
    <w:rsid w:val="00047B72"/>
    <w:rsid w:val="0005758A"/>
    <w:rsid w:val="00060023"/>
    <w:rsid w:val="00062F47"/>
    <w:rsid w:val="0006539E"/>
    <w:rsid w:val="00071745"/>
    <w:rsid w:val="00071DD8"/>
    <w:rsid w:val="00075D47"/>
    <w:rsid w:val="00092B62"/>
    <w:rsid w:val="00097B1D"/>
    <w:rsid w:val="000A53D3"/>
    <w:rsid w:val="000B0444"/>
    <w:rsid w:val="000B06BB"/>
    <w:rsid w:val="000B37F9"/>
    <w:rsid w:val="000B79FB"/>
    <w:rsid w:val="000B7EE3"/>
    <w:rsid w:val="000D1576"/>
    <w:rsid w:val="000E3028"/>
    <w:rsid w:val="000E56C7"/>
    <w:rsid w:val="000E6096"/>
    <w:rsid w:val="000F50AE"/>
    <w:rsid w:val="000F5368"/>
    <w:rsid w:val="000F76B0"/>
    <w:rsid w:val="00101EBD"/>
    <w:rsid w:val="00106D3B"/>
    <w:rsid w:val="001114FC"/>
    <w:rsid w:val="00113B56"/>
    <w:rsid w:val="00114B38"/>
    <w:rsid w:val="00123186"/>
    <w:rsid w:val="00125FFD"/>
    <w:rsid w:val="0012634A"/>
    <w:rsid w:val="00134BC3"/>
    <w:rsid w:val="001366F1"/>
    <w:rsid w:val="00144283"/>
    <w:rsid w:val="001530AE"/>
    <w:rsid w:val="00155A2B"/>
    <w:rsid w:val="00157702"/>
    <w:rsid w:val="00160DDA"/>
    <w:rsid w:val="00166378"/>
    <w:rsid w:val="001670B8"/>
    <w:rsid w:val="00187D2D"/>
    <w:rsid w:val="00191086"/>
    <w:rsid w:val="001A0055"/>
    <w:rsid w:val="001A1510"/>
    <w:rsid w:val="001A1C0F"/>
    <w:rsid w:val="001B6946"/>
    <w:rsid w:val="001C291C"/>
    <w:rsid w:val="001C4F47"/>
    <w:rsid w:val="001C507E"/>
    <w:rsid w:val="001C7675"/>
    <w:rsid w:val="001D1231"/>
    <w:rsid w:val="001D3CE5"/>
    <w:rsid w:val="001D4743"/>
    <w:rsid w:val="001E0591"/>
    <w:rsid w:val="001E0A92"/>
    <w:rsid w:val="001E3264"/>
    <w:rsid w:val="001E5DEE"/>
    <w:rsid w:val="001F7BF5"/>
    <w:rsid w:val="00200460"/>
    <w:rsid w:val="00227683"/>
    <w:rsid w:val="0023226A"/>
    <w:rsid w:val="0024585C"/>
    <w:rsid w:val="00246011"/>
    <w:rsid w:val="002719DE"/>
    <w:rsid w:val="00281A1D"/>
    <w:rsid w:val="0028319C"/>
    <w:rsid w:val="00284BC8"/>
    <w:rsid w:val="00296CBA"/>
    <w:rsid w:val="002A0CA7"/>
    <w:rsid w:val="002C027B"/>
    <w:rsid w:val="002C1CDB"/>
    <w:rsid w:val="002C46B3"/>
    <w:rsid w:val="0030431B"/>
    <w:rsid w:val="003106E3"/>
    <w:rsid w:val="00316B4C"/>
    <w:rsid w:val="00317605"/>
    <w:rsid w:val="00321765"/>
    <w:rsid w:val="003228BA"/>
    <w:rsid w:val="003228F4"/>
    <w:rsid w:val="00330077"/>
    <w:rsid w:val="00331E79"/>
    <w:rsid w:val="00340524"/>
    <w:rsid w:val="0034116C"/>
    <w:rsid w:val="00345B6A"/>
    <w:rsid w:val="003461A1"/>
    <w:rsid w:val="0035451F"/>
    <w:rsid w:val="00357812"/>
    <w:rsid w:val="00377F21"/>
    <w:rsid w:val="003821E0"/>
    <w:rsid w:val="00393AF0"/>
    <w:rsid w:val="00394E89"/>
    <w:rsid w:val="003C687A"/>
    <w:rsid w:val="003C7EF8"/>
    <w:rsid w:val="003D221D"/>
    <w:rsid w:val="003D77D7"/>
    <w:rsid w:val="003E28EF"/>
    <w:rsid w:val="003F1E26"/>
    <w:rsid w:val="003F7043"/>
    <w:rsid w:val="00400F1D"/>
    <w:rsid w:val="00412582"/>
    <w:rsid w:val="0041511B"/>
    <w:rsid w:val="00415369"/>
    <w:rsid w:val="00423DE6"/>
    <w:rsid w:val="0044518C"/>
    <w:rsid w:val="0045045E"/>
    <w:rsid w:val="0045589D"/>
    <w:rsid w:val="0045671E"/>
    <w:rsid w:val="0045728F"/>
    <w:rsid w:val="00463192"/>
    <w:rsid w:val="004752B0"/>
    <w:rsid w:val="0048348E"/>
    <w:rsid w:val="0049348D"/>
    <w:rsid w:val="00495569"/>
    <w:rsid w:val="00495958"/>
    <w:rsid w:val="004A014E"/>
    <w:rsid w:val="004A4F0B"/>
    <w:rsid w:val="004A62B7"/>
    <w:rsid w:val="004B4DEB"/>
    <w:rsid w:val="004C0E25"/>
    <w:rsid w:val="004C1BEF"/>
    <w:rsid w:val="004C521C"/>
    <w:rsid w:val="004D0321"/>
    <w:rsid w:val="004D3735"/>
    <w:rsid w:val="004E2544"/>
    <w:rsid w:val="004F051A"/>
    <w:rsid w:val="004F3906"/>
    <w:rsid w:val="004F5AEA"/>
    <w:rsid w:val="0050344C"/>
    <w:rsid w:val="005513F3"/>
    <w:rsid w:val="0057032D"/>
    <w:rsid w:val="00577146"/>
    <w:rsid w:val="005814A3"/>
    <w:rsid w:val="005966AB"/>
    <w:rsid w:val="005A001B"/>
    <w:rsid w:val="005A63C8"/>
    <w:rsid w:val="005B1C9F"/>
    <w:rsid w:val="005B2054"/>
    <w:rsid w:val="005C0BF4"/>
    <w:rsid w:val="005C47C9"/>
    <w:rsid w:val="005D2D35"/>
    <w:rsid w:val="005E44DA"/>
    <w:rsid w:val="005F08AC"/>
    <w:rsid w:val="005F5BD7"/>
    <w:rsid w:val="00600597"/>
    <w:rsid w:val="0060135D"/>
    <w:rsid w:val="00602FC8"/>
    <w:rsid w:val="00611199"/>
    <w:rsid w:val="00616EF6"/>
    <w:rsid w:val="00620E8F"/>
    <w:rsid w:val="00624E17"/>
    <w:rsid w:val="00626F17"/>
    <w:rsid w:val="00632D6E"/>
    <w:rsid w:val="00632E9C"/>
    <w:rsid w:val="006353E5"/>
    <w:rsid w:val="00642745"/>
    <w:rsid w:val="00646A93"/>
    <w:rsid w:val="0065328C"/>
    <w:rsid w:val="00662C0B"/>
    <w:rsid w:val="006632FA"/>
    <w:rsid w:val="00671D03"/>
    <w:rsid w:val="0068061E"/>
    <w:rsid w:val="006A4017"/>
    <w:rsid w:val="006B0E91"/>
    <w:rsid w:val="006B6138"/>
    <w:rsid w:val="006B6CE2"/>
    <w:rsid w:val="006B7FBA"/>
    <w:rsid w:val="006C0204"/>
    <w:rsid w:val="006C0A28"/>
    <w:rsid w:val="006C42DE"/>
    <w:rsid w:val="006E4C78"/>
    <w:rsid w:val="006F1C7B"/>
    <w:rsid w:val="006F6CA7"/>
    <w:rsid w:val="00700BB3"/>
    <w:rsid w:val="00700F58"/>
    <w:rsid w:val="00710C1A"/>
    <w:rsid w:val="00742703"/>
    <w:rsid w:val="00742E96"/>
    <w:rsid w:val="0077171B"/>
    <w:rsid w:val="0077194F"/>
    <w:rsid w:val="00777F75"/>
    <w:rsid w:val="007826FD"/>
    <w:rsid w:val="00785BE5"/>
    <w:rsid w:val="007A008D"/>
    <w:rsid w:val="007A67F2"/>
    <w:rsid w:val="007B2736"/>
    <w:rsid w:val="007D1A8E"/>
    <w:rsid w:val="007E3C9F"/>
    <w:rsid w:val="007E44DC"/>
    <w:rsid w:val="007E5410"/>
    <w:rsid w:val="007E6ADB"/>
    <w:rsid w:val="007F7D85"/>
    <w:rsid w:val="0080435D"/>
    <w:rsid w:val="00832E7B"/>
    <w:rsid w:val="00850B12"/>
    <w:rsid w:val="00853A64"/>
    <w:rsid w:val="00867ACB"/>
    <w:rsid w:val="008738E0"/>
    <w:rsid w:val="00876928"/>
    <w:rsid w:val="00893E3B"/>
    <w:rsid w:val="008A084F"/>
    <w:rsid w:val="008B0D5B"/>
    <w:rsid w:val="008B19BB"/>
    <w:rsid w:val="008C1076"/>
    <w:rsid w:val="008C4BEC"/>
    <w:rsid w:val="008D7C12"/>
    <w:rsid w:val="008E061A"/>
    <w:rsid w:val="008E1003"/>
    <w:rsid w:val="008F6276"/>
    <w:rsid w:val="0090431F"/>
    <w:rsid w:val="00916118"/>
    <w:rsid w:val="009162ED"/>
    <w:rsid w:val="00917D4B"/>
    <w:rsid w:val="009241B4"/>
    <w:rsid w:val="00926F24"/>
    <w:rsid w:val="00932C9D"/>
    <w:rsid w:val="009340A7"/>
    <w:rsid w:val="009402EB"/>
    <w:rsid w:val="00957E38"/>
    <w:rsid w:val="00970359"/>
    <w:rsid w:val="00975231"/>
    <w:rsid w:val="0099497A"/>
    <w:rsid w:val="009A2F35"/>
    <w:rsid w:val="009A4C47"/>
    <w:rsid w:val="009C0709"/>
    <w:rsid w:val="009C121C"/>
    <w:rsid w:val="009C187D"/>
    <w:rsid w:val="009E589F"/>
    <w:rsid w:val="009E5F43"/>
    <w:rsid w:val="009E67B5"/>
    <w:rsid w:val="009E6CAC"/>
    <w:rsid w:val="009F2AA3"/>
    <w:rsid w:val="009F3F82"/>
    <w:rsid w:val="00A04084"/>
    <w:rsid w:val="00A04382"/>
    <w:rsid w:val="00A04556"/>
    <w:rsid w:val="00A10FAF"/>
    <w:rsid w:val="00A13C52"/>
    <w:rsid w:val="00A20C29"/>
    <w:rsid w:val="00A21582"/>
    <w:rsid w:val="00A22CDB"/>
    <w:rsid w:val="00A2449F"/>
    <w:rsid w:val="00A70463"/>
    <w:rsid w:val="00A73028"/>
    <w:rsid w:val="00A763D7"/>
    <w:rsid w:val="00A76F96"/>
    <w:rsid w:val="00A80E30"/>
    <w:rsid w:val="00A8129F"/>
    <w:rsid w:val="00A82DE6"/>
    <w:rsid w:val="00AA7BFC"/>
    <w:rsid w:val="00AA7C02"/>
    <w:rsid w:val="00AB30EA"/>
    <w:rsid w:val="00AB4EC1"/>
    <w:rsid w:val="00AB6D75"/>
    <w:rsid w:val="00AC2E00"/>
    <w:rsid w:val="00AC4201"/>
    <w:rsid w:val="00AC4C69"/>
    <w:rsid w:val="00AC5B22"/>
    <w:rsid w:val="00AC69D0"/>
    <w:rsid w:val="00AC73E4"/>
    <w:rsid w:val="00AD110D"/>
    <w:rsid w:val="00AD1264"/>
    <w:rsid w:val="00AD15D5"/>
    <w:rsid w:val="00AD665E"/>
    <w:rsid w:val="00AE6BD7"/>
    <w:rsid w:val="00AF7653"/>
    <w:rsid w:val="00B04C33"/>
    <w:rsid w:val="00B23A73"/>
    <w:rsid w:val="00B2547F"/>
    <w:rsid w:val="00B3148F"/>
    <w:rsid w:val="00B349CD"/>
    <w:rsid w:val="00B37407"/>
    <w:rsid w:val="00B472F9"/>
    <w:rsid w:val="00B56B45"/>
    <w:rsid w:val="00B61045"/>
    <w:rsid w:val="00B671D3"/>
    <w:rsid w:val="00B74072"/>
    <w:rsid w:val="00B9100E"/>
    <w:rsid w:val="00BA7874"/>
    <w:rsid w:val="00BB504A"/>
    <w:rsid w:val="00BE09DA"/>
    <w:rsid w:val="00C030E8"/>
    <w:rsid w:val="00C11DB4"/>
    <w:rsid w:val="00C12BC9"/>
    <w:rsid w:val="00C15A89"/>
    <w:rsid w:val="00C20018"/>
    <w:rsid w:val="00C26833"/>
    <w:rsid w:val="00C34410"/>
    <w:rsid w:val="00C517C1"/>
    <w:rsid w:val="00C662B0"/>
    <w:rsid w:val="00C7371D"/>
    <w:rsid w:val="00C740F5"/>
    <w:rsid w:val="00C7423E"/>
    <w:rsid w:val="00C74C07"/>
    <w:rsid w:val="00C76221"/>
    <w:rsid w:val="00C81B2A"/>
    <w:rsid w:val="00C8456F"/>
    <w:rsid w:val="00CB30C3"/>
    <w:rsid w:val="00CB34B0"/>
    <w:rsid w:val="00CB5DC7"/>
    <w:rsid w:val="00CB7729"/>
    <w:rsid w:val="00CD21B4"/>
    <w:rsid w:val="00CD6994"/>
    <w:rsid w:val="00CE398C"/>
    <w:rsid w:val="00CE3BA0"/>
    <w:rsid w:val="00CE5525"/>
    <w:rsid w:val="00CF11FF"/>
    <w:rsid w:val="00CF3C30"/>
    <w:rsid w:val="00CF5683"/>
    <w:rsid w:val="00D03938"/>
    <w:rsid w:val="00D044EE"/>
    <w:rsid w:val="00D0531D"/>
    <w:rsid w:val="00D12E80"/>
    <w:rsid w:val="00D14484"/>
    <w:rsid w:val="00D2588A"/>
    <w:rsid w:val="00D258DE"/>
    <w:rsid w:val="00D444C8"/>
    <w:rsid w:val="00D47299"/>
    <w:rsid w:val="00D52E9E"/>
    <w:rsid w:val="00D56D52"/>
    <w:rsid w:val="00D64CD1"/>
    <w:rsid w:val="00D7306E"/>
    <w:rsid w:val="00D85589"/>
    <w:rsid w:val="00D9590C"/>
    <w:rsid w:val="00DA6A01"/>
    <w:rsid w:val="00DB7D8D"/>
    <w:rsid w:val="00DC4D9D"/>
    <w:rsid w:val="00DD46B0"/>
    <w:rsid w:val="00DE6D5A"/>
    <w:rsid w:val="00DE6FD1"/>
    <w:rsid w:val="00DF7112"/>
    <w:rsid w:val="00DF7CF8"/>
    <w:rsid w:val="00E03EB5"/>
    <w:rsid w:val="00E14F4A"/>
    <w:rsid w:val="00E243B3"/>
    <w:rsid w:val="00E30C8E"/>
    <w:rsid w:val="00E31A54"/>
    <w:rsid w:val="00E31A7F"/>
    <w:rsid w:val="00E3626B"/>
    <w:rsid w:val="00E473DE"/>
    <w:rsid w:val="00E642CB"/>
    <w:rsid w:val="00E71103"/>
    <w:rsid w:val="00E72404"/>
    <w:rsid w:val="00E74A38"/>
    <w:rsid w:val="00E74C1F"/>
    <w:rsid w:val="00E753A2"/>
    <w:rsid w:val="00E77711"/>
    <w:rsid w:val="00E81954"/>
    <w:rsid w:val="00E97A53"/>
    <w:rsid w:val="00EA563D"/>
    <w:rsid w:val="00EB2B3C"/>
    <w:rsid w:val="00EC1108"/>
    <w:rsid w:val="00EC5437"/>
    <w:rsid w:val="00ED08FC"/>
    <w:rsid w:val="00ED0C38"/>
    <w:rsid w:val="00EF602B"/>
    <w:rsid w:val="00F00F19"/>
    <w:rsid w:val="00F1448B"/>
    <w:rsid w:val="00F27279"/>
    <w:rsid w:val="00F338C3"/>
    <w:rsid w:val="00F4456A"/>
    <w:rsid w:val="00F44F58"/>
    <w:rsid w:val="00F712F2"/>
    <w:rsid w:val="00F93B3E"/>
    <w:rsid w:val="00FB5DEC"/>
    <w:rsid w:val="00FD44BC"/>
    <w:rsid w:val="00FD5BB3"/>
    <w:rsid w:val="00FE3491"/>
    <w:rsid w:val="00FF0F7A"/>
    <w:rsid w:val="00FF6584"/>
    <w:rsid w:val="0367CCF4"/>
    <w:rsid w:val="098F74BC"/>
    <w:rsid w:val="163C50EC"/>
    <w:rsid w:val="17048F26"/>
    <w:rsid w:val="1DBD4E54"/>
    <w:rsid w:val="1EBC7597"/>
    <w:rsid w:val="1F5331AC"/>
    <w:rsid w:val="223306ED"/>
    <w:rsid w:val="22FE152A"/>
    <w:rsid w:val="2B76375F"/>
    <w:rsid w:val="2EC7A39D"/>
    <w:rsid w:val="3078F084"/>
    <w:rsid w:val="3A043654"/>
    <w:rsid w:val="3C549BEB"/>
    <w:rsid w:val="3CB454AD"/>
    <w:rsid w:val="3E9BF859"/>
    <w:rsid w:val="45E01972"/>
    <w:rsid w:val="4A171FC2"/>
    <w:rsid w:val="4D7544B9"/>
    <w:rsid w:val="4E641331"/>
    <w:rsid w:val="52497AFC"/>
    <w:rsid w:val="59E9B27B"/>
    <w:rsid w:val="5ED31127"/>
    <w:rsid w:val="5F2290E3"/>
    <w:rsid w:val="62082B7F"/>
    <w:rsid w:val="6559288C"/>
    <w:rsid w:val="6B792CA6"/>
    <w:rsid w:val="7173DC04"/>
    <w:rsid w:val="728F60A7"/>
    <w:rsid w:val="773CB0EA"/>
    <w:rsid w:val="7AA0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E02E5"/>
  <w14:defaultImageDpi w14:val="32767"/>
  <w15:chartTrackingRefBased/>
  <w15:docId w15:val="{4D7EABD7-778B-F944-A4EE-56952E3C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1C"/>
  </w:style>
  <w:style w:type="paragraph" w:styleId="Heading1">
    <w:name w:val="heading 1"/>
    <w:basedOn w:val="Normal"/>
    <w:next w:val="Normal"/>
    <w:link w:val="Heading1Char"/>
    <w:uiPriority w:val="9"/>
    <w:qFormat/>
    <w:rsid w:val="001A00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0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F3C30"/>
    <w:pPr>
      <w:ind w:left="720"/>
      <w:contextualSpacing/>
    </w:pPr>
  </w:style>
  <w:style w:type="table" w:styleId="TableGrid">
    <w:name w:val="Table Grid"/>
    <w:basedOn w:val="TableNormal"/>
    <w:uiPriority w:val="39"/>
    <w:rsid w:val="00CF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1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1B4"/>
    <w:rPr>
      <w:rFonts w:ascii="Times New Roman" w:hAnsi="Times New Roman" w:cs="Times New Roman"/>
      <w:sz w:val="18"/>
      <w:szCs w:val="18"/>
    </w:rPr>
  </w:style>
  <w:style w:type="paragraph" w:styleId="Footer">
    <w:name w:val="footer"/>
    <w:basedOn w:val="Normal"/>
    <w:link w:val="FooterChar"/>
    <w:uiPriority w:val="99"/>
    <w:unhideWhenUsed/>
    <w:rsid w:val="00CD21B4"/>
    <w:pPr>
      <w:tabs>
        <w:tab w:val="center" w:pos="4513"/>
        <w:tab w:val="right" w:pos="9026"/>
      </w:tabs>
    </w:pPr>
  </w:style>
  <w:style w:type="character" w:customStyle="1" w:styleId="FooterChar">
    <w:name w:val="Footer Char"/>
    <w:basedOn w:val="DefaultParagraphFont"/>
    <w:link w:val="Footer"/>
    <w:uiPriority w:val="99"/>
    <w:rsid w:val="00CD21B4"/>
  </w:style>
  <w:style w:type="character" w:styleId="PageNumber">
    <w:name w:val="page number"/>
    <w:basedOn w:val="DefaultParagraphFont"/>
    <w:uiPriority w:val="99"/>
    <w:semiHidden/>
    <w:unhideWhenUsed/>
    <w:rsid w:val="00CD21B4"/>
  </w:style>
  <w:style w:type="character" w:styleId="CommentReference">
    <w:name w:val="annotation reference"/>
    <w:basedOn w:val="DefaultParagraphFont"/>
    <w:uiPriority w:val="99"/>
    <w:semiHidden/>
    <w:unhideWhenUsed/>
    <w:rsid w:val="00D14484"/>
    <w:rPr>
      <w:sz w:val="16"/>
      <w:szCs w:val="16"/>
    </w:rPr>
  </w:style>
  <w:style w:type="paragraph" w:styleId="CommentText">
    <w:name w:val="annotation text"/>
    <w:basedOn w:val="Normal"/>
    <w:link w:val="CommentTextChar"/>
    <w:uiPriority w:val="99"/>
    <w:semiHidden/>
    <w:unhideWhenUsed/>
    <w:rsid w:val="00D14484"/>
    <w:rPr>
      <w:sz w:val="20"/>
      <w:szCs w:val="20"/>
    </w:rPr>
  </w:style>
  <w:style w:type="character" w:customStyle="1" w:styleId="CommentTextChar">
    <w:name w:val="Comment Text Char"/>
    <w:basedOn w:val="DefaultParagraphFont"/>
    <w:link w:val="CommentText"/>
    <w:uiPriority w:val="99"/>
    <w:semiHidden/>
    <w:rsid w:val="00D14484"/>
    <w:rPr>
      <w:sz w:val="20"/>
      <w:szCs w:val="20"/>
    </w:rPr>
  </w:style>
  <w:style w:type="paragraph" w:styleId="CommentSubject">
    <w:name w:val="annotation subject"/>
    <w:basedOn w:val="CommentText"/>
    <w:next w:val="CommentText"/>
    <w:link w:val="CommentSubjectChar"/>
    <w:uiPriority w:val="99"/>
    <w:semiHidden/>
    <w:unhideWhenUsed/>
    <w:rsid w:val="00D14484"/>
    <w:rPr>
      <w:b/>
      <w:bCs/>
    </w:rPr>
  </w:style>
  <w:style w:type="character" w:customStyle="1" w:styleId="CommentSubjectChar">
    <w:name w:val="Comment Subject Char"/>
    <w:basedOn w:val="CommentTextChar"/>
    <w:link w:val="CommentSubject"/>
    <w:uiPriority w:val="99"/>
    <w:semiHidden/>
    <w:rsid w:val="00D14484"/>
    <w:rPr>
      <w:b/>
      <w:bCs/>
      <w:sz w:val="20"/>
      <w:szCs w:val="20"/>
    </w:rPr>
  </w:style>
  <w:style w:type="character" w:styleId="Hyperlink">
    <w:name w:val="Hyperlink"/>
    <w:basedOn w:val="DefaultParagraphFont"/>
    <w:uiPriority w:val="99"/>
    <w:unhideWhenUsed/>
    <w:rsid w:val="001B6946"/>
    <w:rPr>
      <w:color w:val="0563C1" w:themeColor="hyperlink"/>
      <w:u w:val="single"/>
    </w:rPr>
  </w:style>
  <w:style w:type="character" w:customStyle="1" w:styleId="UnresolvedMention">
    <w:name w:val="Unresolved Mention"/>
    <w:basedOn w:val="DefaultParagraphFont"/>
    <w:uiPriority w:val="99"/>
    <w:rsid w:val="001B6946"/>
    <w:rPr>
      <w:color w:val="808080"/>
      <w:shd w:val="clear" w:color="auto" w:fill="E6E6E6"/>
    </w:rPr>
  </w:style>
  <w:style w:type="paragraph" w:styleId="Header">
    <w:name w:val="header"/>
    <w:basedOn w:val="Normal"/>
    <w:link w:val="HeaderChar"/>
    <w:uiPriority w:val="99"/>
    <w:unhideWhenUsed/>
    <w:rsid w:val="004C0E25"/>
    <w:pPr>
      <w:tabs>
        <w:tab w:val="center" w:pos="4680"/>
        <w:tab w:val="right" w:pos="9360"/>
      </w:tabs>
    </w:pPr>
  </w:style>
  <w:style w:type="character" w:customStyle="1" w:styleId="HeaderChar">
    <w:name w:val="Header Char"/>
    <w:basedOn w:val="DefaultParagraphFont"/>
    <w:link w:val="Header"/>
    <w:uiPriority w:val="99"/>
    <w:rsid w:val="004C0E25"/>
  </w:style>
  <w:style w:type="character" w:styleId="Strong">
    <w:name w:val="Strong"/>
    <w:basedOn w:val="DefaultParagraphFont"/>
    <w:uiPriority w:val="22"/>
    <w:qFormat/>
    <w:rsid w:val="0028319C"/>
    <w:rPr>
      <w:b/>
      <w:bCs/>
    </w:rPr>
  </w:style>
  <w:style w:type="paragraph" w:customStyle="1" w:styleId="xmsonormal">
    <w:name w:val="x_msonormal"/>
    <w:basedOn w:val="Normal"/>
    <w:rsid w:val="004F051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F051A"/>
    <w:rPr>
      <w:color w:val="954F72" w:themeColor="followedHyperlink"/>
      <w:u w:val="single"/>
    </w:rPr>
  </w:style>
  <w:style w:type="character" w:customStyle="1" w:styleId="normaltextrun">
    <w:name w:val="normaltextrun"/>
    <w:basedOn w:val="DefaultParagraphFont"/>
    <w:rsid w:val="00BA7874"/>
  </w:style>
  <w:style w:type="character" w:customStyle="1" w:styleId="eop">
    <w:name w:val="eop"/>
    <w:basedOn w:val="DefaultParagraphFont"/>
    <w:rsid w:val="00BA7874"/>
  </w:style>
  <w:style w:type="paragraph" w:styleId="NoSpacing">
    <w:name w:val="No Spacing"/>
    <w:uiPriority w:val="1"/>
    <w:qFormat/>
    <w:rsid w:val="005A63C8"/>
  </w:style>
  <w:style w:type="paragraph" w:customStyle="1" w:styleId="Default">
    <w:name w:val="Default"/>
    <w:rsid w:val="00926F24"/>
    <w:pPr>
      <w:autoSpaceDE w:val="0"/>
      <w:autoSpaceDN w:val="0"/>
      <w:adjustRightInd w:val="0"/>
    </w:pPr>
    <w:rPr>
      <w:rFonts w:ascii="Proxima Nova Light" w:hAnsi="Proxima Nova Light" w:cs="Proxima Nova Light"/>
      <w:color w:val="000000"/>
    </w:rPr>
  </w:style>
  <w:style w:type="paragraph" w:customStyle="1" w:styleId="Pa6">
    <w:name w:val="Pa6"/>
    <w:basedOn w:val="Default"/>
    <w:next w:val="Default"/>
    <w:uiPriority w:val="99"/>
    <w:rsid w:val="00926F24"/>
    <w:pPr>
      <w:spacing w:line="231" w:lineRule="atLeast"/>
    </w:pPr>
    <w:rPr>
      <w:rFonts w:cstheme="minorBidi"/>
      <w:color w:val="auto"/>
    </w:rPr>
  </w:style>
  <w:style w:type="paragraph" w:customStyle="1" w:styleId="Pa10">
    <w:name w:val="Pa10"/>
    <w:basedOn w:val="Default"/>
    <w:next w:val="Default"/>
    <w:uiPriority w:val="99"/>
    <w:rsid w:val="00926F24"/>
    <w:pPr>
      <w:spacing w:line="231" w:lineRule="atLeast"/>
    </w:pPr>
    <w:rPr>
      <w:rFonts w:cstheme="minorBidi"/>
      <w:color w:val="auto"/>
    </w:rPr>
  </w:style>
  <w:style w:type="character" w:customStyle="1" w:styleId="A6">
    <w:name w:val="A6"/>
    <w:uiPriority w:val="99"/>
    <w:rsid w:val="00926F24"/>
    <w:rPr>
      <w:rFonts w:cs="Proxima Nova Light"/>
      <w:color w:val="000000"/>
      <w:sz w:val="13"/>
      <w:szCs w:val="13"/>
    </w:rPr>
  </w:style>
  <w:style w:type="character" w:customStyle="1" w:styleId="Heading1Char">
    <w:name w:val="Heading 1 Char"/>
    <w:basedOn w:val="DefaultParagraphFont"/>
    <w:link w:val="Heading1"/>
    <w:uiPriority w:val="9"/>
    <w:rsid w:val="001A00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713">
      <w:bodyDiv w:val="1"/>
      <w:marLeft w:val="0"/>
      <w:marRight w:val="0"/>
      <w:marTop w:val="0"/>
      <w:marBottom w:val="0"/>
      <w:divBdr>
        <w:top w:val="none" w:sz="0" w:space="0" w:color="auto"/>
        <w:left w:val="none" w:sz="0" w:space="0" w:color="auto"/>
        <w:bottom w:val="none" w:sz="0" w:space="0" w:color="auto"/>
        <w:right w:val="none" w:sz="0" w:space="0" w:color="auto"/>
      </w:divBdr>
      <w:divsChild>
        <w:div w:id="2039817219">
          <w:marLeft w:val="0"/>
          <w:marRight w:val="0"/>
          <w:marTop w:val="0"/>
          <w:marBottom w:val="0"/>
          <w:divBdr>
            <w:top w:val="none" w:sz="0" w:space="0" w:color="auto"/>
            <w:left w:val="none" w:sz="0" w:space="0" w:color="auto"/>
            <w:bottom w:val="none" w:sz="0" w:space="0" w:color="auto"/>
            <w:right w:val="none" w:sz="0" w:space="0" w:color="auto"/>
          </w:divBdr>
          <w:divsChild>
            <w:div w:id="1148980571">
              <w:marLeft w:val="0"/>
              <w:marRight w:val="0"/>
              <w:marTop w:val="0"/>
              <w:marBottom w:val="0"/>
              <w:divBdr>
                <w:top w:val="none" w:sz="0" w:space="0" w:color="auto"/>
                <w:left w:val="none" w:sz="0" w:space="0" w:color="auto"/>
                <w:bottom w:val="none" w:sz="0" w:space="0" w:color="auto"/>
                <w:right w:val="none" w:sz="0" w:space="0" w:color="auto"/>
              </w:divBdr>
              <w:divsChild>
                <w:div w:id="19434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7658">
      <w:bodyDiv w:val="1"/>
      <w:marLeft w:val="0"/>
      <w:marRight w:val="0"/>
      <w:marTop w:val="0"/>
      <w:marBottom w:val="0"/>
      <w:divBdr>
        <w:top w:val="none" w:sz="0" w:space="0" w:color="auto"/>
        <w:left w:val="none" w:sz="0" w:space="0" w:color="auto"/>
        <w:bottom w:val="none" w:sz="0" w:space="0" w:color="auto"/>
        <w:right w:val="none" w:sz="0" w:space="0" w:color="auto"/>
      </w:divBdr>
      <w:divsChild>
        <w:div w:id="5644974">
          <w:marLeft w:val="0"/>
          <w:marRight w:val="0"/>
          <w:marTop w:val="0"/>
          <w:marBottom w:val="0"/>
          <w:divBdr>
            <w:top w:val="none" w:sz="0" w:space="0" w:color="auto"/>
            <w:left w:val="none" w:sz="0" w:space="0" w:color="auto"/>
            <w:bottom w:val="none" w:sz="0" w:space="0" w:color="auto"/>
            <w:right w:val="none" w:sz="0" w:space="0" w:color="auto"/>
          </w:divBdr>
          <w:divsChild>
            <w:div w:id="1869179835">
              <w:marLeft w:val="0"/>
              <w:marRight w:val="0"/>
              <w:marTop w:val="0"/>
              <w:marBottom w:val="0"/>
              <w:divBdr>
                <w:top w:val="none" w:sz="0" w:space="0" w:color="auto"/>
                <w:left w:val="none" w:sz="0" w:space="0" w:color="auto"/>
                <w:bottom w:val="none" w:sz="0" w:space="0" w:color="auto"/>
                <w:right w:val="none" w:sz="0" w:space="0" w:color="auto"/>
              </w:divBdr>
              <w:divsChild>
                <w:div w:id="1919947853">
                  <w:marLeft w:val="0"/>
                  <w:marRight w:val="0"/>
                  <w:marTop w:val="0"/>
                  <w:marBottom w:val="0"/>
                  <w:divBdr>
                    <w:top w:val="none" w:sz="0" w:space="0" w:color="auto"/>
                    <w:left w:val="none" w:sz="0" w:space="0" w:color="auto"/>
                    <w:bottom w:val="none" w:sz="0" w:space="0" w:color="auto"/>
                    <w:right w:val="none" w:sz="0" w:space="0" w:color="auto"/>
                  </w:divBdr>
                </w:div>
                <w:div w:id="14343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2339">
      <w:bodyDiv w:val="1"/>
      <w:marLeft w:val="0"/>
      <w:marRight w:val="0"/>
      <w:marTop w:val="0"/>
      <w:marBottom w:val="0"/>
      <w:divBdr>
        <w:top w:val="none" w:sz="0" w:space="0" w:color="auto"/>
        <w:left w:val="none" w:sz="0" w:space="0" w:color="auto"/>
        <w:bottom w:val="none" w:sz="0" w:space="0" w:color="auto"/>
        <w:right w:val="none" w:sz="0" w:space="0" w:color="auto"/>
      </w:divBdr>
      <w:divsChild>
        <w:div w:id="2030329543">
          <w:marLeft w:val="0"/>
          <w:marRight w:val="0"/>
          <w:marTop w:val="0"/>
          <w:marBottom w:val="0"/>
          <w:divBdr>
            <w:top w:val="none" w:sz="0" w:space="0" w:color="auto"/>
            <w:left w:val="none" w:sz="0" w:space="0" w:color="auto"/>
            <w:bottom w:val="none" w:sz="0" w:space="0" w:color="auto"/>
            <w:right w:val="none" w:sz="0" w:space="0" w:color="auto"/>
          </w:divBdr>
          <w:divsChild>
            <w:div w:id="821316703">
              <w:marLeft w:val="0"/>
              <w:marRight w:val="0"/>
              <w:marTop w:val="0"/>
              <w:marBottom w:val="0"/>
              <w:divBdr>
                <w:top w:val="none" w:sz="0" w:space="0" w:color="auto"/>
                <w:left w:val="none" w:sz="0" w:space="0" w:color="auto"/>
                <w:bottom w:val="none" w:sz="0" w:space="0" w:color="auto"/>
                <w:right w:val="none" w:sz="0" w:space="0" w:color="auto"/>
              </w:divBdr>
              <w:divsChild>
                <w:div w:id="1388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269">
      <w:bodyDiv w:val="1"/>
      <w:marLeft w:val="0"/>
      <w:marRight w:val="0"/>
      <w:marTop w:val="0"/>
      <w:marBottom w:val="0"/>
      <w:divBdr>
        <w:top w:val="none" w:sz="0" w:space="0" w:color="auto"/>
        <w:left w:val="none" w:sz="0" w:space="0" w:color="auto"/>
        <w:bottom w:val="none" w:sz="0" w:space="0" w:color="auto"/>
        <w:right w:val="none" w:sz="0" w:space="0" w:color="auto"/>
      </w:divBdr>
    </w:div>
    <w:div w:id="774595184">
      <w:bodyDiv w:val="1"/>
      <w:marLeft w:val="0"/>
      <w:marRight w:val="0"/>
      <w:marTop w:val="0"/>
      <w:marBottom w:val="0"/>
      <w:divBdr>
        <w:top w:val="none" w:sz="0" w:space="0" w:color="auto"/>
        <w:left w:val="none" w:sz="0" w:space="0" w:color="auto"/>
        <w:bottom w:val="none" w:sz="0" w:space="0" w:color="auto"/>
        <w:right w:val="none" w:sz="0" w:space="0" w:color="auto"/>
      </w:divBdr>
    </w:div>
    <w:div w:id="853501110">
      <w:bodyDiv w:val="1"/>
      <w:marLeft w:val="0"/>
      <w:marRight w:val="0"/>
      <w:marTop w:val="0"/>
      <w:marBottom w:val="0"/>
      <w:divBdr>
        <w:top w:val="none" w:sz="0" w:space="0" w:color="auto"/>
        <w:left w:val="none" w:sz="0" w:space="0" w:color="auto"/>
        <w:bottom w:val="none" w:sz="0" w:space="0" w:color="auto"/>
        <w:right w:val="none" w:sz="0" w:space="0" w:color="auto"/>
      </w:divBdr>
      <w:divsChild>
        <w:div w:id="480775937">
          <w:marLeft w:val="0"/>
          <w:marRight w:val="0"/>
          <w:marTop w:val="0"/>
          <w:marBottom w:val="0"/>
          <w:divBdr>
            <w:top w:val="none" w:sz="0" w:space="0" w:color="auto"/>
            <w:left w:val="none" w:sz="0" w:space="0" w:color="auto"/>
            <w:bottom w:val="none" w:sz="0" w:space="0" w:color="auto"/>
            <w:right w:val="none" w:sz="0" w:space="0" w:color="auto"/>
          </w:divBdr>
          <w:divsChild>
            <w:div w:id="224724733">
              <w:marLeft w:val="0"/>
              <w:marRight w:val="0"/>
              <w:marTop w:val="0"/>
              <w:marBottom w:val="0"/>
              <w:divBdr>
                <w:top w:val="none" w:sz="0" w:space="0" w:color="auto"/>
                <w:left w:val="none" w:sz="0" w:space="0" w:color="auto"/>
                <w:bottom w:val="none" w:sz="0" w:space="0" w:color="auto"/>
                <w:right w:val="none" w:sz="0" w:space="0" w:color="auto"/>
              </w:divBdr>
              <w:divsChild>
                <w:div w:id="3220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658">
      <w:bodyDiv w:val="1"/>
      <w:marLeft w:val="0"/>
      <w:marRight w:val="0"/>
      <w:marTop w:val="0"/>
      <w:marBottom w:val="0"/>
      <w:divBdr>
        <w:top w:val="none" w:sz="0" w:space="0" w:color="auto"/>
        <w:left w:val="none" w:sz="0" w:space="0" w:color="auto"/>
        <w:bottom w:val="none" w:sz="0" w:space="0" w:color="auto"/>
        <w:right w:val="none" w:sz="0" w:space="0" w:color="auto"/>
      </w:divBdr>
      <w:divsChild>
        <w:div w:id="1616214440">
          <w:marLeft w:val="0"/>
          <w:marRight w:val="0"/>
          <w:marTop w:val="0"/>
          <w:marBottom w:val="0"/>
          <w:divBdr>
            <w:top w:val="none" w:sz="0" w:space="0" w:color="auto"/>
            <w:left w:val="none" w:sz="0" w:space="0" w:color="auto"/>
            <w:bottom w:val="none" w:sz="0" w:space="0" w:color="auto"/>
            <w:right w:val="none" w:sz="0" w:space="0" w:color="auto"/>
          </w:divBdr>
          <w:divsChild>
            <w:div w:id="1768651997">
              <w:marLeft w:val="0"/>
              <w:marRight w:val="0"/>
              <w:marTop w:val="0"/>
              <w:marBottom w:val="0"/>
              <w:divBdr>
                <w:top w:val="none" w:sz="0" w:space="0" w:color="auto"/>
                <w:left w:val="none" w:sz="0" w:space="0" w:color="auto"/>
                <w:bottom w:val="none" w:sz="0" w:space="0" w:color="auto"/>
                <w:right w:val="none" w:sz="0" w:space="0" w:color="auto"/>
              </w:divBdr>
              <w:divsChild>
                <w:div w:id="17135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68683">
      <w:bodyDiv w:val="1"/>
      <w:marLeft w:val="0"/>
      <w:marRight w:val="0"/>
      <w:marTop w:val="0"/>
      <w:marBottom w:val="0"/>
      <w:divBdr>
        <w:top w:val="none" w:sz="0" w:space="0" w:color="auto"/>
        <w:left w:val="none" w:sz="0" w:space="0" w:color="auto"/>
        <w:bottom w:val="none" w:sz="0" w:space="0" w:color="auto"/>
        <w:right w:val="none" w:sz="0" w:space="0" w:color="auto"/>
      </w:divBdr>
    </w:div>
    <w:div w:id="1273170737">
      <w:bodyDiv w:val="1"/>
      <w:marLeft w:val="0"/>
      <w:marRight w:val="0"/>
      <w:marTop w:val="0"/>
      <w:marBottom w:val="0"/>
      <w:divBdr>
        <w:top w:val="none" w:sz="0" w:space="0" w:color="auto"/>
        <w:left w:val="none" w:sz="0" w:space="0" w:color="auto"/>
        <w:bottom w:val="none" w:sz="0" w:space="0" w:color="auto"/>
        <w:right w:val="none" w:sz="0" w:space="0" w:color="auto"/>
      </w:divBdr>
    </w:div>
    <w:div w:id="1302804769">
      <w:bodyDiv w:val="1"/>
      <w:marLeft w:val="0"/>
      <w:marRight w:val="0"/>
      <w:marTop w:val="0"/>
      <w:marBottom w:val="0"/>
      <w:divBdr>
        <w:top w:val="none" w:sz="0" w:space="0" w:color="auto"/>
        <w:left w:val="none" w:sz="0" w:space="0" w:color="auto"/>
        <w:bottom w:val="none" w:sz="0" w:space="0" w:color="auto"/>
        <w:right w:val="none" w:sz="0" w:space="0" w:color="auto"/>
      </w:divBdr>
    </w:div>
    <w:div w:id="1364020156">
      <w:bodyDiv w:val="1"/>
      <w:marLeft w:val="0"/>
      <w:marRight w:val="0"/>
      <w:marTop w:val="0"/>
      <w:marBottom w:val="0"/>
      <w:divBdr>
        <w:top w:val="none" w:sz="0" w:space="0" w:color="auto"/>
        <w:left w:val="none" w:sz="0" w:space="0" w:color="auto"/>
        <w:bottom w:val="none" w:sz="0" w:space="0" w:color="auto"/>
        <w:right w:val="none" w:sz="0" w:space="0" w:color="auto"/>
      </w:divBdr>
    </w:div>
    <w:div w:id="1759401145">
      <w:bodyDiv w:val="1"/>
      <w:marLeft w:val="0"/>
      <w:marRight w:val="0"/>
      <w:marTop w:val="0"/>
      <w:marBottom w:val="0"/>
      <w:divBdr>
        <w:top w:val="none" w:sz="0" w:space="0" w:color="auto"/>
        <w:left w:val="none" w:sz="0" w:space="0" w:color="auto"/>
        <w:bottom w:val="none" w:sz="0" w:space="0" w:color="auto"/>
        <w:right w:val="none" w:sz="0" w:space="0" w:color="auto"/>
      </w:divBdr>
    </w:div>
    <w:div w:id="1780369856">
      <w:bodyDiv w:val="1"/>
      <w:marLeft w:val="0"/>
      <w:marRight w:val="0"/>
      <w:marTop w:val="0"/>
      <w:marBottom w:val="0"/>
      <w:divBdr>
        <w:top w:val="none" w:sz="0" w:space="0" w:color="auto"/>
        <w:left w:val="none" w:sz="0" w:space="0" w:color="auto"/>
        <w:bottom w:val="none" w:sz="0" w:space="0" w:color="auto"/>
        <w:right w:val="none" w:sz="0" w:space="0" w:color="auto"/>
      </w:divBdr>
    </w:div>
    <w:div w:id="1852600496">
      <w:bodyDiv w:val="1"/>
      <w:marLeft w:val="0"/>
      <w:marRight w:val="0"/>
      <w:marTop w:val="0"/>
      <w:marBottom w:val="0"/>
      <w:divBdr>
        <w:top w:val="none" w:sz="0" w:space="0" w:color="auto"/>
        <w:left w:val="none" w:sz="0" w:space="0" w:color="auto"/>
        <w:bottom w:val="none" w:sz="0" w:space="0" w:color="auto"/>
        <w:right w:val="none" w:sz="0" w:space="0" w:color="auto"/>
      </w:divBdr>
    </w:div>
    <w:div w:id="1894072720">
      <w:bodyDiv w:val="1"/>
      <w:marLeft w:val="0"/>
      <w:marRight w:val="0"/>
      <w:marTop w:val="0"/>
      <w:marBottom w:val="0"/>
      <w:divBdr>
        <w:top w:val="none" w:sz="0" w:space="0" w:color="auto"/>
        <w:left w:val="none" w:sz="0" w:space="0" w:color="auto"/>
        <w:bottom w:val="none" w:sz="0" w:space="0" w:color="auto"/>
        <w:right w:val="none" w:sz="0" w:space="0" w:color="auto"/>
      </w:divBdr>
    </w:div>
    <w:div w:id="1927684580">
      <w:bodyDiv w:val="1"/>
      <w:marLeft w:val="0"/>
      <w:marRight w:val="0"/>
      <w:marTop w:val="0"/>
      <w:marBottom w:val="0"/>
      <w:divBdr>
        <w:top w:val="none" w:sz="0" w:space="0" w:color="auto"/>
        <w:left w:val="none" w:sz="0" w:space="0" w:color="auto"/>
        <w:bottom w:val="none" w:sz="0" w:space="0" w:color="auto"/>
        <w:right w:val="none" w:sz="0" w:space="0" w:color="auto"/>
      </w:divBdr>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277685133">
          <w:marLeft w:val="0"/>
          <w:marRight w:val="0"/>
          <w:marTop w:val="0"/>
          <w:marBottom w:val="0"/>
          <w:divBdr>
            <w:top w:val="none" w:sz="0" w:space="0" w:color="auto"/>
            <w:left w:val="none" w:sz="0" w:space="0" w:color="auto"/>
            <w:bottom w:val="none" w:sz="0" w:space="0" w:color="auto"/>
            <w:right w:val="none" w:sz="0" w:space="0" w:color="auto"/>
          </w:divBdr>
          <w:divsChild>
            <w:div w:id="1001003651">
              <w:marLeft w:val="0"/>
              <w:marRight w:val="0"/>
              <w:marTop w:val="0"/>
              <w:marBottom w:val="0"/>
              <w:divBdr>
                <w:top w:val="none" w:sz="0" w:space="0" w:color="auto"/>
                <w:left w:val="none" w:sz="0" w:space="0" w:color="auto"/>
                <w:bottom w:val="none" w:sz="0" w:space="0" w:color="auto"/>
                <w:right w:val="none" w:sz="0" w:space="0" w:color="auto"/>
              </w:divBdr>
              <w:divsChild>
                <w:div w:id="14635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ocio-economic-du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ites/default/files/publications/2021-04/a-more-equal-wales-mapping-guide.pdf" TargetMode="External"/><Relationship Id="rId17" Type="http://schemas.openxmlformats.org/officeDocument/2006/relationships/hyperlink" Target="https://gov.wales/socio-economic-duty-scrutiny-framework" TargetMode="External"/><Relationship Id="rId2" Type="http://schemas.openxmlformats.org/officeDocument/2006/relationships/customXml" Target="../customXml/item2.xml"/><Relationship Id="rId16" Type="http://schemas.openxmlformats.org/officeDocument/2006/relationships/hyperlink" Target="https://www.youtube.com/watch?v=Hr4qr0vj1Z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ocio-economic-duty-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socio-economic-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A35265754</value>
    </field>
    <field name="Objective-Title">
      <value order="0">SED progress tracker document final cleared</value>
    </field>
    <field name="Objective-Description">
      <value order="0"/>
    </field>
    <field name="Objective-CreationStamp">
      <value order="0">2021-06-25T14:18:33Z</value>
    </field>
    <field name="Objective-IsApproved">
      <value order="0">false</value>
    </field>
    <field name="Objective-IsPublished">
      <value order="0">true</value>
    </field>
    <field name="Objective-DatePublished">
      <value order="0">2021-08-04T09:32:56Z</value>
    </field>
    <field name="Objective-ModificationStamp">
      <value order="0">2021-08-04T09:32:56Z</value>
    </field>
    <field name="Objective-Owner">
      <value order="0">Tobutt, Emma (EPS - Equality &amp; Prosperity)</value>
    </field>
    <field name="Objective-Path">
      <value order="0">Objective Global Folder:Business File Plan:Education &amp; Public Services (EPS):Education &amp; Public Services (EPS) - Communities &amp; Tackling Poverty - Communities Division:1 - Save:CTP - COMD - Head of Division - NEW:Socio-Economic Duty :Socio-Economic Duty - Guidance - 2019-2022:Progress tracker</value>
    </field>
    <field name="Objective-Parent">
      <value order="0">Progress tracker</value>
    </field>
    <field name="Objective-State">
      <value order="0">Published</value>
    </field>
    <field name="Objective-VersionId">
      <value order="0">vA70547224</value>
    </field>
    <field name="Objective-Version">
      <value order="0">9.0</value>
    </field>
    <field name="Objective-VersionNumber">
      <value order="0">13</value>
    </field>
    <field name="Objective-VersionComment">
      <value order="0"/>
    </field>
    <field name="Objective-FileNumber">
      <value order="0">qA1417250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D5A6B49-F1EB-4933-BDED-E9AC9A43F27F}">
  <ds:schemaRefs>
    <ds:schemaRef ds:uri="http://schemas.microsoft.com/sharepoint/v3/contenttype/forms"/>
  </ds:schemaRefs>
</ds:datastoreItem>
</file>

<file path=customXml/itemProps3.xml><?xml version="1.0" encoding="utf-8"?>
<ds:datastoreItem xmlns:ds="http://schemas.openxmlformats.org/officeDocument/2006/customXml" ds:itemID="{8475319A-E2E0-4844-8962-421F97FA3537}">
  <ds:schemaRefs>
    <ds:schemaRef ds:uri="bea8e2f1-ddf1-43bb-8dd9-6e781c1fd1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456BD68-64D0-4628-9F45-E48BE80E4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546F43-63A3-4D4E-88AB-EC08A1EE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Progress tracker: Changing the way that Strategic decisions are made to meet the Socio-economic Duty</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tracker: Changing the way that Strategic decisions are made to meet the Socio-economic Duty</dc:title>
  <dc:subject/>
  <dc:creator>Microsoft Office User</dc:creator>
  <cp:keywords/>
  <dc:description/>
  <cp:lastModifiedBy>Fulker, Louise (EPS - LGCHR Communications)</cp:lastModifiedBy>
  <cp:revision>2</cp:revision>
  <cp:lastPrinted>2019-07-23T12:33:00Z</cp:lastPrinted>
  <dcterms:created xsi:type="dcterms:W3CDTF">2021-08-04T11:31:00Z</dcterms:created>
  <dcterms:modified xsi:type="dcterms:W3CDTF">2021-08-04T11:31:00Z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rder">
    <vt:r8>40400</vt:r8>
  </property>
  <property fmtid="{D5CDD505-2E9C-101B-9397-08002B2CF9AE}" pid="4" name="ComplianceAssetId">
    <vt:lpwstr/>
  </property>
  <property fmtid="{D5CDD505-2E9C-101B-9397-08002B2CF9AE}" pid="5" name="WbFG Doc Type">
    <vt:lpwstr>4;#Audit and progress information|7b486c2c-0bd9-4945-8948-9b7a3582e4cf</vt:lpwstr>
  </property>
  <property fmtid="{D5CDD505-2E9C-101B-9397-08002B2CF9AE}" pid="6" name="Objective-Id">
    <vt:lpwstr>A35265754</vt:lpwstr>
  </property>
  <property fmtid="{D5CDD505-2E9C-101B-9397-08002B2CF9AE}" pid="7" name="Objective-Title">
    <vt:lpwstr>SED progress tracker document final cleared</vt:lpwstr>
  </property>
  <property fmtid="{D5CDD505-2E9C-101B-9397-08002B2CF9AE}" pid="8" name="Objective-Description">
    <vt:lpwstr/>
  </property>
  <property fmtid="{D5CDD505-2E9C-101B-9397-08002B2CF9AE}" pid="9" name="Objective-CreationStamp">
    <vt:filetime>2021-06-25T14:18:40Z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2021-08-04T09:32:56Z</vt:filetime>
  </property>
  <property fmtid="{D5CDD505-2E9C-101B-9397-08002B2CF9AE}" pid="13" name="Objective-ModificationStamp">
    <vt:filetime>2021-08-04T09:32:56Z</vt:filetime>
  </property>
  <property fmtid="{D5CDD505-2E9C-101B-9397-08002B2CF9AE}" pid="14" name="Objective-Owner">
    <vt:lpwstr>Tobutt, Emma (EPS - Equality &amp; Prosperity)</vt:lpwstr>
  </property>
  <property fmtid="{D5CDD505-2E9C-101B-9397-08002B2CF9AE}" pid="15" name="Objective-Path">
    <vt:lpwstr>Objective Global Folder:Business File Plan:Education &amp; Public Services (EPS):Education &amp; Public Services (EPS) - Communities &amp; Tackling Poverty - Communities Division:1 - Save:CTP - COMD - Head of Division - NEW:Socio-Economic Duty :Socio-Economic Duty - </vt:lpwstr>
  </property>
  <property fmtid="{D5CDD505-2E9C-101B-9397-08002B2CF9AE}" pid="16" name="Objective-Parent">
    <vt:lpwstr>Progress tracker</vt:lpwstr>
  </property>
  <property fmtid="{D5CDD505-2E9C-101B-9397-08002B2CF9AE}" pid="17" name="Objective-State">
    <vt:lpwstr>Published</vt:lpwstr>
  </property>
  <property fmtid="{D5CDD505-2E9C-101B-9397-08002B2CF9AE}" pid="18" name="Objective-VersionId">
    <vt:lpwstr>vA70547224</vt:lpwstr>
  </property>
  <property fmtid="{D5CDD505-2E9C-101B-9397-08002B2CF9AE}" pid="19" name="Objective-Version">
    <vt:lpwstr>9.0</vt:lpwstr>
  </property>
  <property fmtid="{D5CDD505-2E9C-101B-9397-08002B2CF9AE}" pid="20" name="Objective-VersionNumber">
    <vt:r8>13</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Acquired">
    <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