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B3D9" w14:textId="7A912B70" w:rsidR="005C2203" w:rsidRDefault="005C2203" w:rsidP="005C2203">
      <w:pPr>
        <w:pStyle w:val="Heading9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WHC (202</w:t>
      </w:r>
      <w:r w:rsidR="004D3416">
        <w:rPr>
          <w:rFonts w:ascii="Arial" w:hAnsi="Arial"/>
          <w:color w:val="auto"/>
        </w:rPr>
        <w:t>3</w:t>
      </w:r>
      <w:r>
        <w:rPr>
          <w:rFonts w:ascii="Arial" w:hAnsi="Arial"/>
          <w:color w:val="auto"/>
        </w:rPr>
        <w:t xml:space="preserve">) </w:t>
      </w:r>
      <w:r w:rsidR="004D3416">
        <w:rPr>
          <w:rFonts w:ascii="Arial" w:hAnsi="Arial"/>
          <w:color w:val="auto"/>
        </w:rPr>
        <w:t>008</w:t>
      </w:r>
    </w:p>
    <w:p w14:paraId="14253858" w14:textId="77777777" w:rsidR="005C2203" w:rsidRPr="003B0982" w:rsidRDefault="005C2203" w:rsidP="005C2203">
      <w:pPr>
        <w:rPr>
          <w:lang w:eastAsia="en-US"/>
        </w:rPr>
      </w:pPr>
    </w:p>
    <w:tbl>
      <w:tblPr>
        <w:tblW w:w="5668" w:type="pct"/>
        <w:jc w:val="center"/>
        <w:tblLook w:val="0000" w:firstRow="0" w:lastRow="0" w:firstColumn="0" w:lastColumn="0" w:noHBand="0" w:noVBand="0"/>
      </w:tblPr>
      <w:tblGrid>
        <w:gridCol w:w="5584"/>
        <w:gridCol w:w="483"/>
        <w:gridCol w:w="3357"/>
      </w:tblGrid>
      <w:tr w:rsidR="005C2203" w14:paraId="5E2D1D11" w14:textId="77777777" w:rsidTr="009F7387">
        <w:trPr>
          <w:cantSplit/>
          <w:trHeight w:val="690"/>
          <w:jc w:val="center"/>
        </w:trPr>
        <w:tc>
          <w:tcPr>
            <w:tcW w:w="5000" w:type="pct"/>
            <w:gridSpan w:val="3"/>
          </w:tcPr>
          <w:p w14:paraId="72EF3765" w14:textId="2E4CAC1A" w:rsidR="005C2203" w:rsidRDefault="005C2203" w:rsidP="009F7387">
            <w:pPr>
              <w:jc w:val="center"/>
              <w:rPr>
                <w:b/>
                <w:sz w:val="52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5C8F8EE4" wp14:editId="4C77E302">
                  <wp:simplePos x="0" y="0"/>
                  <wp:positionH relativeFrom="column">
                    <wp:posOffset>4526280</wp:posOffset>
                  </wp:positionH>
                  <wp:positionV relativeFrom="paragraph">
                    <wp:posOffset>429260</wp:posOffset>
                  </wp:positionV>
                  <wp:extent cx="1476375" cy="1199515"/>
                  <wp:effectExtent l="0" t="0" r="9525" b="635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9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sz w:val="52"/>
              </w:rPr>
              <w:t>WELSH HEALTH CIRCULAR</w:t>
            </w:r>
          </w:p>
        </w:tc>
      </w:tr>
      <w:tr w:rsidR="005C2203" w14:paraId="1B0B1C44" w14:textId="77777777" w:rsidTr="009F7387">
        <w:trPr>
          <w:trHeight w:val="1966"/>
          <w:jc w:val="center"/>
        </w:trPr>
        <w:tc>
          <w:tcPr>
            <w:tcW w:w="2963" w:type="pct"/>
          </w:tcPr>
          <w:p w14:paraId="03C10D4A" w14:textId="77777777" w:rsidR="005C2203" w:rsidRDefault="005C2203" w:rsidP="009F7387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02789E1" w14:textId="77777777" w:rsidR="005C2203" w:rsidRDefault="005C2203" w:rsidP="009F7387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7E146D8" w14:textId="77777777" w:rsidR="005C2203" w:rsidRDefault="005C2203" w:rsidP="009F7387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867989A" w14:textId="77777777" w:rsidR="005C2203" w:rsidRDefault="005C2203" w:rsidP="009F7387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0955EE0B" w14:textId="77777777" w:rsidR="005C2203" w:rsidRDefault="005C2203" w:rsidP="009F7387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4099C1E9" w14:textId="1DE549D2" w:rsidR="005C2203" w:rsidRPr="006E0159" w:rsidRDefault="005C2203" w:rsidP="009F7387">
            <w:pPr>
              <w:pStyle w:val="Title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6E0159">
              <w:rPr>
                <w:b/>
                <w:sz w:val="22"/>
                <w:szCs w:val="22"/>
              </w:rPr>
              <w:t xml:space="preserve">Issue Date: </w:t>
            </w:r>
            <w:r w:rsidR="0005246B">
              <w:rPr>
                <w:b/>
                <w:sz w:val="22"/>
                <w:szCs w:val="22"/>
              </w:rPr>
              <w:t>September 2023</w:t>
            </w:r>
          </w:p>
        </w:tc>
        <w:tc>
          <w:tcPr>
            <w:tcW w:w="256" w:type="pct"/>
          </w:tcPr>
          <w:p w14:paraId="65B0DE09" w14:textId="77777777" w:rsidR="005C2203" w:rsidRDefault="005C2203" w:rsidP="009F7387">
            <w:pPr>
              <w:jc w:val="center"/>
            </w:pPr>
          </w:p>
        </w:tc>
        <w:tc>
          <w:tcPr>
            <w:tcW w:w="1781" w:type="pct"/>
          </w:tcPr>
          <w:p w14:paraId="4D42E9AB" w14:textId="77777777" w:rsidR="005C2203" w:rsidRDefault="005C2203" w:rsidP="009F7387">
            <w:pPr>
              <w:rPr>
                <w:b/>
                <w:sz w:val="28"/>
              </w:rPr>
            </w:pPr>
          </w:p>
        </w:tc>
      </w:tr>
      <w:tr w:rsidR="005C2203" w14:paraId="27F3E8B6" w14:textId="77777777" w:rsidTr="009F7387">
        <w:trPr>
          <w:trHeight w:val="570"/>
          <w:jc w:val="center"/>
        </w:trPr>
        <w:tc>
          <w:tcPr>
            <w:tcW w:w="2963" w:type="pct"/>
          </w:tcPr>
          <w:p w14:paraId="144819B3" w14:textId="77777777" w:rsidR="005C2203" w:rsidRDefault="005C2203" w:rsidP="009F7387">
            <w:pPr>
              <w:rPr>
                <w:sz w:val="19"/>
              </w:rPr>
            </w:pPr>
          </w:p>
        </w:tc>
        <w:tc>
          <w:tcPr>
            <w:tcW w:w="256" w:type="pct"/>
          </w:tcPr>
          <w:p w14:paraId="2D0E95F6" w14:textId="77777777" w:rsidR="005C2203" w:rsidRDefault="005C2203" w:rsidP="009F7387">
            <w:pPr>
              <w:jc w:val="center"/>
            </w:pPr>
          </w:p>
        </w:tc>
        <w:tc>
          <w:tcPr>
            <w:tcW w:w="1781" w:type="pct"/>
          </w:tcPr>
          <w:p w14:paraId="239BBF1B" w14:textId="77777777" w:rsidR="005C2203" w:rsidRDefault="005C2203" w:rsidP="009F7387">
            <w:pPr>
              <w:jc w:val="right"/>
              <w:rPr>
                <w:sz w:val="16"/>
              </w:rPr>
            </w:pPr>
          </w:p>
          <w:p w14:paraId="28FF4640" w14:textId="77777777" w:rsidR="005C2203" w:rsidRDefault="005C2203" w:rsidP="009F7387">
            <w:pPr>
              <w:jc w:val="right"/>
              <w:rPr>
                <w:sz w:val="16"/>
              </w:rPr>
            </w:pPr>
          </w:p>
          <w:p w14:paraId="6436DE1D" w14:textId="77777777" w:rsidR="005C2203" w:rsidRDefault="005C2203" w:rsidP="009F7387">
            <w:pPr>
              <w:jc w:val="right"/>
              <w:rPr>
                <w:sz w:val="19"/>
              </w:rPr>
            </w:pPr>
          </w:p>
        </w:tc>
      </w:tr>
    </w:tbl>
    <w:p w14:paraId="5333505A" w14:textId="77777777" w:rsidR="005C2203" w:rsidRPr="00973655" w:rsidRDefault="005C2203" w:rsidP="005C2203">
      <w:pPr>
        <w:tabs>
          <w:tab w:val="center" w:pos="5245"/>
        </w:tabs>
        <w:rPr>
          <w:b/>
          <w:sz w:val="28"/>
        </w:rPr>
      </w:pPr>
      <w:r>
        <w:rPr>
          <w:b/>
          <w:sz w:val="28"/>
        </w:rPr>
        <w:tab/>
        <w:t xml:space="preserve">                                                      </w:t>
      </w:r>
      <w:r>
        <w:rPr>
          <w:b/>
        </w:rPr>
        <w:t xml:space="preserve">                                                                                              </w:t>
      </w:r>
    </w:p>
    <w:p w14:paraId="729E7C69" w14:textId="73D9A165" w:rsidR="005C2203" w:rsidRPr="006E0159" w:rsidRDefault="005C2203" w:rsidP="005C2203">
      <w:pPr>
        <w:tabs>
          <w:tab w:val="center" w:pos="5245"/>
        </w:tabs>
        <w:ind w:left="900"/>
        <w:jc w:val="center"/>
        <w:rPr>
          <w:b/>
          <w:sz w:val="22"/>
          <w:szCs w:val="22"/>
        </w:rPr>
      </w:pPr>
      <w:r w:rsidRPr="006E0159">
        <w:rPr>
          <w:b/>
          <w:sz w:val="22"/>
          <w:szCs w:val="22"/>
          <w:u w:val="single"/>
        </w:rPr>
        <w:t>STATUS</w:t>
      </w:r>
      <w:r w:rsidRPr="006E0159">
        <w:rPr>
          <w:b/>
          <w:sz w:val="22"/>
          <w:szCs w:val="22"/>
        </w:rPr>
        <w:t xml:space="preserve">: ACTION / INFORMATION </w:t>
      </w:r>
    </w:p>
    <w:p w14:paraId="4517C1AE" w14:textId="410BEBA2" w:rsidR="005C2203" w:rsidRPr="006E0159" w:rsidRDefault="005C2203" w:rsidP="005C2203">
      <w:pPr>
        <w:tabs>
          <w:tab w:val="center" w:pos="5245"/>
        </w:tabs>
        <w:ind w:left="900"/>
        <w:jc w:val="center"/>
        <w:rPr>
          <w:i/>
          <w:sz w:val="22"/>
          <w:szCs w:val="22"/>
        </w:rPr>
      </w:pPr>
    </w:p>
    <w:p w14:paraId="3B6DFBAA" w14:textId="77777777" w:rsidR="005C2203" w:rsidRPr="006E0159" w:rsidRDefault="005C2203" w:rsidP="005C2203">
      <w:pPr>
        <w:tabs>
          <w:tab w:val="center" w:pos="5245"/>
        </w:tabs>
        <w:ind w:left="900"/>
        <w:jc w:val="center"/>
        <w:rPr>
          <w:i/>
          <w:sz w:val="22"/>
          <w:szCs w:val="22"/>
        </w:rPr>
      </w:pPr>
    </w:p>
    <w:p w14:paraId="055C7F3B" w14:textId="3050D465" w:rsidR="005C2203" w:rsidRPr="006E0159" w:rsidRDefault="005C2203" w:rsidP="005C2203">
      <w:pPr>
        <w:tabs>
          <w:tab w:val="center" w:pos="5245"/>
        </w:tabs>
        <w:ind w:left="142"/>
        <w:jc w:val="center"/>
        <w:rPr>
          <w:i/>
          <w:sz w:val="22"/>
          <w:szCs w:val="22"/>
        </w:rPr>
      </w:pPr>
      <w:r w:rsidRPr="006E0159">
        <w:rPr>
          <w:b/>
          <w:sz w:val="22"/>
          <w:szCs w:val="22"/>
          <w:u w:val="single"/>
        </w:rPr>
        <w:t>CATEGORY</w:t>
      </w:r>
      <w:r w:rsidRPr="006E0159">
        <w:rPr>
          <w:b/>
          <w:sz w:val="22"/>
          <w:szCs w:val="22"/>
        </w:rPr>
        <w:t>:</w:t>
      </w:r>
      <w:r w:rsidRPr="006E0159">
        <w:rPr>
          <w:sz w:val="22"/>
          <w:szCs w:val="22"/>
        </w:rPr>
        <w:t xml:space="preserve"> </w:t>
      </w:r>
      <w:r w:rsidRPr="006E0159">
        <w:rPr>
          <w:b/>
          <w:sz w:val="22"/>
          <w:szCs w:val="22"/>
        </w:rPr>
        <w:t xml:space="preserve">QUALITY &amp; SAFETY / </w:t>
      </w:r>
      <w:r>
        <w:rPr>
          <w:b/>
          <w:sz w:val="22"/>
          <w:szCs w:val="22"/>
        </w:rPr>
        <w:t xml:space="preserve">POLICY </w:t>
      </w:r>
    </w:p>
    <w:p w14:paraId="48899F13" w14:textId="77777777" w:rsidR="005C2203" w:rsidRDefault="005C2203" w:rsidP="005C2203">
      <w:pPr>
        <w:tabs>
          <w:tab w:val="center" w:pos="5245"/>
        </w:tabs>
        <w:ind w:left="142"/>
        <w:jc w:val="center"/>
        <w:rPr>
          <w:i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6"/>
      </w:tblGrid>
      <w:tr w:rsidR="005C2203" w14:paraId="72B43776" w14:textId="77777777" w:rsidTr="009F7387">
        <w:trPr>
          <w:trHeight w:hRule="exact" w:val="840"/>
          <w:jc w:val="center"/>
        </w:trPr>
        <w:tc>
          <w:tcPr>
            <w:tcW w:w="11056" w:type="dxa"/>
          </w:tcPr>
          <w:p w14:paraId="62A86EEC" w14:textId="6F5CDE08" w:rsidR="005C2203" w:rsidRDefault="005C2203" w:rsidP="009F7387">
            <w:pPr>
              <w:rPr>
                <w:b/>
                <w:sz w:val="32"/>
              </w:rPr>
            </w:pPr>
            <w:r w:rsidRPr="00973655">
              <w:rPr>
                <w:b/>
                <w:sz w:val="22"/>
                <w:szCs w:val="22"/>
              </w:rPr>
              <w:t>Title:</w:t>
            </w:r>
            <w:r>
              <w:rPr>
                <w:b/>
              </w:rPr>
              <w:t xml:space="preserve"> </w:t>
            </w:r>
            <w:proofErr w:type="spellStart"/>
            <w:r>
              <w:t>SaBTO</w:t>
            </w:r>
            <w:proofErr w:type="spellEnd"/>
            <w:r>
              <w:t xml:space="preserve"> FAIR III recommendations to tissue and cell donation process</w:t>
            </w:r>
          </w:p>
        </w:tc>
      </w:tr>
    </w:tbl>
    <w:p w14:paraId="06C0A102" w14:textId="77777777" w:rsidR="005C2203" w:rsidRDefault="005C2203" w:rsidP="005C2203">
      <w:pPr>
        <w:tabs>
          <w:tab w:val="center" w:pos="5245"/>
        </w:tabs>
        <w:ind w:left="142"/>
        <w:jc w:val="center"/>
        <w:rPr>
          <w:i/>
          <w:sz w:val="22"/>
        </w:rPr>
      </w:pPr>
    </w:p>
    <w:p w14:paraId="26ED7603" w14:textId="77777777" w:rsidR="005C2203" w:rsidRDefault="005C2203" w:rsidP="005C2203">
      <w:pPr>
        <w:tabs>
          <w:tab w:val="center" w:pos="5245"/>
        </w:tabs>
        <w:ind w:left="-1276"/>
        <w:jc w:val="right"/>
        <w:rPr>
          <w:i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6"/>
      </w:tblGrid>
      <w:tr w:rsidR="005C2203" w14:paraId="4F1F8933" w14:textId="77777777" w:rsidTr="009F7387">
        <w:trPr>
          <w:trHeight w:hRule="exact" w:val="840"/>
          <w:jc w:val="center"/>
        </w:trPr>
        <w:tc>
          <w:tcPr>
            <w:tcW w:w="11056" w:type="dxa"/>
          </w:tcPr>
          <w:p w14:paraId="7ED511F9" w14:textId="79D5A495" w:rsidR="005C2203" w:rsidRDefault="005C2203" w:rsidP="009F7387">
            <w:pPr>
              <w:rPr>
                <w:b/>
                <w:sz w:val="32"/>
              </w:rPr>
            </w:pPr>
            <w:r>
              <w:rPr>
                <w:b/>
                <w:sz w:val="22"/>
                <w:szCs w:val="22"/>
              </w:rPr>
              <w:t xml:space="preserve">Date of Expiry / Review </w:t>
            </w:r>
            <w:r w:rsidR="00772EB0">
              <w:rPr>
                <w:b/>
                <w:sz w:val="22"/>
                <w:szCs w:val="22"/>
              </w:rPr>
              <w:t xml:space="preserve">18 September 2023 </w:t>
            </w:r>
          </w:p>
        </w:tc>
      </w:tr>
    </w:tbl>
    <w:p w14:paraId="07DF3A3B" w14:textId="77777777" w:rsidR="005C2203" w:rsidRDefault="005C2203" w:rsidP="005C2203">
      <w:pPr>
        <w:jc w:val="center"/>
      </w:pPr>
    </w:p>
    <w:p w14:paraId="19C98E9A" w14:textId="77777777" w:rsidR="005C2203" w:rsidRDefault="005C2203" w:rsidP="005C2203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708"/>
        <w:gridCol w:w="5245"/>
      </w:tblGrid>
      <w:tr w:rsidR="005C2203" w14:paraId="73B3EF34" w14:textId="77777777" w:rsidTr="009F7387">
        <w:trPr>
          <w:cantSplit/>
          <w:jc w:val="center"/>
        </w:trPr>
        <w:tc>
          <w:tcPr>
            <w:tcW w:w="510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6C3B3" w14:textId="05EEFBE2" w:rsidR="005C2203" w:rsidRPr="005C2203" w:rsidRDefault="005C2203" w:rsidP="005C2203">
            <w:pPr>
              <w:rPr>
                <w:sz w:val="22"/>
              </w:rPr>
            </w:pPr>
            <w:r>
              <w:rPr>
                <w:b/>
                <w:sz w:val="22"/>
              </w:rPr>
              <w:t>For Action by:</w:t>
            </w:r>
            <w:r>
              <w:rPr>
                <w:sz w:val="22"/>
              </w:rPr>
              <w:t xml:space="preserve"> All health boards, NHSBT, Velindre NHS Trust</w:t>
            </w:r>
            <w:r>
              <w:rPr>
                <w:noProof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3CE7D6D" w14:textId="77777777" w:rsidR="005C2203" w:rsidRDefault="005C2203" w:rsidP="009F738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F6996" w14:textId="228E6C3A" w:rsidR="005C2203" w:rsidRDefault="005C2203" w:rsidP="009F738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Action required by: </w:t>
            </w:r>
            <w:r w:rsidR="00772EB0">
              <w:rPr>
                <w:b/>
                <w:sz w:val="22"/>
              </w:rPr>
              <w:t>18 September 2023</w:t>
            </w:r>
          </w:p>
          <w:p w14:paraId="5C924D7F" w14:textId="77777777" w:rsidR="005C2203" w:rsidRDefault="005C2203" w:rsidP="009F7387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</w:tc>
      </w:tr>
    </w:tbl>
    <w:p w14:paraId="58EC9793" w14:textId="77777777" w:rsidR="005C2203" w:rsidRDefault="005C2203" w:rsidP="005C2203">
      <w:pPr>
        <w:jc w:val="center"/>
      </w:pPr>
    </w:p>
    <w:p w14:paraId="077FBBA5" w14:textId="77777777" w:rsidR="005C2203" w:rsidRDefault="005C2203" w:rsidP="005C2203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6"/>
      </w:tblGrid>
      <w:tr w:rsidR="005C2203" w14:paraId="3B73D731" w14:textId="77777777" w:rsidTr="009F7387">
        <w:trPr>
          <w:trHeight w:hRule="exact" w:val="580"/>
          <w:jc w:val="center"/>
        </w:trPr>
        <w:tc>
          <w:tcPr>
            <w:tcW w:w="11056" w:type="dxa"/>
          </w:tcPr>
          <w:p w14:paraId="4A4E693B" w14:textId="77777777" w:rsidR="005C2203" w:rsidRDefault="005C2203" w:rsidP="009F7387">
            <w:pPr>
              <w:pStyle w:val="Title"/>
              <w:jc w:val="left"/>
              <w:rPr>
                <w:b/>
                <w:sz w:val="22"/>
              </w:rPr>
            </w:pPr>
            <w:r w:rsidRPr="00DB2271">
              <w:rPr>
                <w:b/>
                <w:sz w:val="22"/>
              </w:rPr>
              <w:t>Sender:</w:t>
            </w:r>
            <w:r>
              <w:rPr>
                <w:b/>
                <w:sz w:val="22"/>
              </w:rPr>
              <w:t xml:space="preserve">  </w:t>
            </w:r>
          </w:p>
          <w:p w14:paraId="3D27D06E" w14:textId="62BC81AB" w:rsidR="005C2203" w:rsidRDefault="005C2203" w:rsidP="009F7387">
            <w:pPr>
              <w:rPr>
                <w:sz w:val="22"/>
              </w:rPr>
            </w:pPr>
            <w:r>
              <w:rPr>
                <w:sz w:val="22"/>
              </w:rPr>
              <w:t>Prof Chris Jones, Deputy Chief Medical Officer, Health &amp; Social Services</w:t>
            </w:r>
          </w:p>
        </w:tc>
      </w:tr>
    </w:tbl>
    <w:p w14:paraId="6613345C" w14:textId="77777777" w:rsidR="005C2203" w:rsidRDefault="005C2203" w:rsidP="005C2203">
      <w:pPr>
        <w:jc w:val="center"/>
      </w:pPr>
    </w:p>
    <w:p w14:paraId="09CCAB28" w14:textId="77777777" w:rsidR="005C2203" w:rsidRDefault="005C2203" w:rsidP="005C2203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6"/>
      </w:tblGrid>
      <w:tr w:rsidR="005C2203" w14:paraId="1CDB4909" w14:textId="77777777" w:rsidTr="009F7387">
        <w:trPr>
          <w:trHeight w:hRule="exact" w:val="1216"/>
          <w:jc w:val="center"/>
        </w:trPr>
        <w:tc>
          <w:tcPr>
            <w:tcW w:w="11056" w:type="dxa"/>
          </w:tcPr>
          <w:p w14:paraId="37F248AD" w14:textId="77777777" w:rsidR="005C2203" w:rsidRDefault="005C2203" w:rsidP="005C2203">
            <w:pPr>
              <w:tabs>
                <w:tab w:val="left" w:pos="343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HSSG Welsh Government Contact(s) : </w:t>
            </w:r>
          </w:p>
          <w:p w14:paraId="1704591C" w14:textId="413937BE" w:rsidR="005C2203" w:rsidRPr="005C2203" w:rsidRDefault="005C2203" w:rsidP="005C2203">
            <w:pPr>
              <w:tabs>
                <w:tab w:val="left" w:pos="3436"/>
              </w:tabs>
              <w:rPr>
                <w:b/>
                <w:sz w:val="22"/>
              </w:rPr>
            </w:pPr>
            <w:r w:rsidRPr="005C2203">
              <w:rPr>
                <w:bCs/>
                <w:sz w:val="22"/>
              </w:rPr>
              <w:t xml:space="preserve">Quality and Nursing Directorate, </w:t>
            </w:r>
            <w:r>
              <w:rPr>
                <w:bCs/>
                <w:sz w:val="22"/>
              </w:rPr>
              <w:t xml:space="preserve">Health &amp; Social Services, Welsh Government, Cathays Park, Cathays, CF10 3NQ. Email: </w:t>
            </w:r>
            <w:hyperlink r:id="rId7" w:history="1">
              <w:r w:rsidR="002E3735" w:rsidRPr="004D3416">
                <w:rPr>
                  <w:rStyle w:val="Hyperlink"/>
                  <w:rFonts w:eastAsiaTheme="minorEastAsia" w:cs="Arial"/>
                  <w:noProof/>
                  <w:color w:val="000000" w:themeColor="text1"/>
                  <w:sz w:val="22"/>
                  <w:szCs w:val="22"/>
                  <w:lang w:val="cy-GB"/>
                </w:rPr>
                <w:t>QualityAndNursing@gov.wales</w:t>
              </w:r>
            </w:hyperlink>
          </w:p>
        </w:tc>
      </w:tr>
    </w:tbl>
    <w:p w14:paraId="238DAB26" w14:textId="77777777" w:rsidR="005C2203" w:rsidRDefault="005C2203" w:rsidP="005C2203">
      <w:pPr>
        <w:rPr>
          <w:sz w:val="18"/>
        </w:rPr>
      </w:pPr>
    </w:p>
    <w:p w14:paraId="0CEB9238" w14:textId="77777777" w:rsidR="005C2203" w:rsidRDefault="005C2203" w:rsidP="005C2203">
      <w:pPr>
        <w:rPr>
          <w:sz w:val="18"/>
        </w:rPr>
      </w:pPr>
    </w:p>
    <w:tbl>
      <w:tblPr>
        <w:tblW w:w="11056" w:type="dxa"/>
        <w:jc w:val="center"/>
        <w:tblBorders>
          <w:top w:val="single" w:sz="6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6"/>
      </w:tblGrid>
      <w:tr w:rsidR="005C2203" w:rsidRPr="006E0159" w14:paraId="14498112" w14:textId="77777777" w:rsidTr="009F7387">
        <w:trPr>
          <w:trHeight w:hRule="exact" w:val="401"/>
          <w:jc w:val="center"/>
        </w:trPr>
        <w:tc>
          <w:tcPr>
            <w:tcW w:w="11056" w:type="dxa"/>
          </w:tcPr>
          <w:p w14:paraId="445537C6" w14:textId="4AC95644" w:rsidR="005C2203" w:rsidRPr="006E0159" w:rsidRDefault="005C2203" w:rsidP="009F7387">
            <w:pPr>
              <w:rPr>
                <w:sz w:val="22"/>
                <w:szCs w:val="22"/>
              </w:rPr>
            </w:pPr>
            <w:r w:rsidRPr="006E0159">
              <w:rPr>
                <w:b/>
                <w:sz w:val="22"/>
                <w:szCs w:val="22"/>
              </w:rPr>
              <w:t xml:space="preserve">Enclosure(s): </w:t>
            </w:r>
            <w:r w:rsidR="00BD05F7">
              <w:rPr>
                <w:sz w:val="22"/>
                <w:szCs w:val="22"/>
              </w:rPr>
              <w:t>None</w:t>
            </w:r>
            <w:r w:rsidRPr="006E0159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62E956B8" w14:textId="77777777" w:rsidR="005C2203" w:rsidRDefault="005C2203" w:rsidP="005C2203"/>
    <w:p w14:paraId="4CA050F8" w14:textId="4EBB7EB5" w:rsidR="005C2203" w:rsidRPr="00580547" w:rsidRDefault="005C2203" w:rsidP="005C2203">
      <w:pPr>
        <w:spacing w:after="160" w:line="259" w:lineRule="auto"/>
        <w:rPr>
          <w:b/>
          <w:bCs/>
        </w:rPr>
      </w:pPr>
      <w:r>
        <w:br w:type="page"/>
      </w:r>
      <w:proofErr w:type="spellStart"/>
      <w:r w:rsidRPr="00580547">
        <w:rPr>
          <w:b/>
          <w:bCs/>
        </w:rPr>
        <w:lastRenderedPageBreak/>
        <w:t>SaBTO</w:t>
      </w:r>
      <w:proofErr w:type="spellEnd"/>
      <w:r w:rsidRPr="00580547">
        <w:rPr>
          <w:b/>
          <w:bCs/>
        </w:rPr>
        <w:t xml:space="preserve"> FAIR III recommendations </w:t>
      </w:r>
      <w:r w:rsidR="00012E7E">
        <w:rPr>
          <w:b/>
          <w:bCs/>
        </w:rPr>
        <w:t>on</w:t>
      </w:r>
      <w:r w:rsidRPr="00580547">
        <w:rPr>
          <w:b/>
          <w:bCs/>
        </w:rPr>
        <w:t xml:space="preserve"> tissue and cell donation</w:t>
      </w:r>
    </w:p>
    <w:p w14:paraId="4F17A502" w14:textId="59222713" w:rsidR="005C2203" w:rsidRDefault="005C2203" w:rsidP="005C2203">
      <w:pPr>
        <w:spacing w:after="160" w:line="259" w:lineRule="auto"/>
      </w:pPr>
    </w:p>
    <w:p w14:paraId="0E41EC95" w14:textId="697744E2" w:rsidR="005C2203" w:rsidRPr="00952344" w:rsidRDefault="005C2203" w:rsidP="005C2203">
      <w:pPr>
        <w:spacing w:after="160" w:line="259" w:lineRule="auto"/>
        <w:rPr>
          <w:b/>
          <w:bCs/>
        </w:rPr>
      </w:pPr>
      <w:r w:rsidRPr="00952344">
        <w:rPr>
          <w:b/>
          <w:bCs/>
        </w:rPr>
        <w:t>Summary</w:t>
      </w:r>
    </w:p>
    <w:p w14:paraId="1F9A9095" w14:textId="4B1C4BD7" w:rsidR="005C2203" w:rsidRDefault="001E777C" w:rsidP="005C2203">
      <w:pPr>
        <w:spacing w:after="160" w:line="259" w:lineRule="auto"/>
      </w:pPr>
      <w:r>
        <w:t>In May 2022, the For Assessment of Individual Risk (FAIR)</w:t>
      </w:r>
      <w:r w:rsidR="00D10629">
        <w:t xml:space="preserve"> III</w:t>
      </w:r>
      <w:r w:rsidR="002E3735">
        <w:t xml:space="preserve"> </w:t>
      </w:r>
      <w:r>
        <w:t xml:space="preserve">Steering Group submitted a report and recommendations for implementation to extend the changes </w:t>
      </w:r>
      <w:r w:rsidR="00012E7E">
        <w:t xml:space="preserve">already </w:t>
      </w:r>
      <w:r>
        <w:t xml:space="preserve">made to questions </w:t>
      </w:r>
      <w:r w:rsidR="00012E7E">
        <w:t xml:space="preserve">that used to be </w:t>
      </w:r>
      <w:r>
        <w:t xml:space="preserve">asked </w:t>
      </w:r>
      <w:r w:rsidR="00012E7E">
        <w:t>of</w:t>
      </w:r>
      <w:r w:rsidR="00DF1A16">
        <w:t xml:space="preserve"> </w:t>
      </w:r>
      <w:r>
        <w:t>men who have sex with men</w:t>
      </w:r>
      <w:r w:rsidR="00012E7E">
        <w:t xml:space="preserve"> (MSM</w:t>
      </w:r>
      <w:r>
        <w:t>) and partner MSM blood donors</w:t>
      </w:r>
      <w:r w:rsidR="00012E7E">
        <w:t>,</w:t>
      </w:r>
      <w:r>
        <w:t xml:space="preserve"> to the tissue and cell donation process. </w:t>
      </w:r>
    </w:p>
    <w:p w14:paraId="244DBB57" w14:textId="77777777" w:rsidR="00A127F9" w:rsidRPr="00952344" w:rsidRDefault="00A127F9" w:rsidP="005C2203">
      <w:pPr>
        <w:spacing w:after="160" w:line="259" w:lineRule="auto"/>
        <w:rPr>
          <w:b/>
          <w:bCs/>
        </w:rPr>
      </w:pPr>
    </w:p>
    <w:p w14:paraId="0A137EA2" w14:textId="0C9395B4" w:rsidR="005C2203" w:rsidRPr="00952344" w:rsidRDefault="005C2203" w:rsidP="005C2203">
      <w:pPr>
        <w:spacing w:after="160" w:line="259" w:lineRule="auto"/>
        <w:rPr>
          <w:b/>
          <w:bCs/>
        </w:rPr>
      </w:pPr>
      <w:r w:rsidRPr="00952344">
        <w:rPr>
          <w:b/>
          <w:bCs/>
        </w:rPr>
        <w:t>Action</w:t>
      </w:r>
    </w:p>
    <w:p w14:paraId="5A49192F" w14:textId="162E2800" w:rsidR="002420F3" w:rsidRDefault="00731E4C" w:rsidP="005C2203">
      <w:pPr>
        <w:spacing w:after="160" w:line="259" w:lineRule="auto"/>
      </w:pPr>
      <w:r>
        <w:t xml:space="preserve">Health boards and </w:t>
      </w:r>
      <w:r w:rsidR="00012E7E">
        <w:t>t</w:t>
      </w:r>
      <w:r>
        <w:t xml:space="preserve">rusts are asked to </w:t>
      </w:r>
      <w:r w:rsidR="00AC7836">
        <w:t>ensure</w:t>
      </w:r>
      <w:r>
        <w:t xml:space="preserve"> implementation of the </w:t>
      </w:r>
      <w:r w:rsidR="008F7AEF">
        <w:t xml:space="preserve">recommendations outlined in the FAIR III report </w:t>
      </w:r>
      <w:r w:rsidR="00911220">
        <w:t>for any living or deceased tissue or cell donations</w:t>
      </w:r>
      <w:r w:rsidR="00012E7E">
        <w:t xml:space="preserve">. These include activities </w:t>
      </w:r>
      <w:r w:rsidR="005B2B4E">
        <w:t>such as bone donation during hip replacement surgery</w:t>
      </w:r>
      <w:r w:rsidR="002420F3">
        <w:t xml:space="preserve">. </w:t>
      </w:r>
      <w:r w:rsidR="00273C32">
        <w:t xml:space="preserve">Colleagues are also asked, where required, that additional communications be made available </w:t>
      </w:r>
      <w:r w:rsidR="004671BD">
        <w:t xml:space="preserve">within pre-donation information for donors and families. </w:t>
      </w:r>
    </w:p>
    <w:p w14:paraId="3EEC7948" w14:textId="77777777" w:rsidR="00BD05F7" w:rsidRDefault="00BD05F7" w:rsidP="005C2203">
      <w:pPr>
        <w:spacing w:after="160" w:line="259" w:lineRule="auto"/>
        <w:rPr>
          <w:b/>
          <w:bCs/>
        </w:rPr>
      </w:pPr>
    </w:p>
    <w:p w14:paraId="364163E1" w14:textId="3D63F64B" w:rsidR="00D97DEB" w:rsidRDefault="00BD05F7" w:rsidP="005C2203">
      <w:pPr>
        <w:spacing w:after="160" w:line="259" w:lineRule="auto"/>
        <w:rPr>
          <w:b/>
          <w:bCs/>
        </w:rPr>
      </w:pPr>
      <w:r>
        <w:rPr>
          <w:b/>
          <w:bCs/>
        </w:rPr>
        <w:t>BACKGROUND</w:t>
      </w:r>
    </w:p>
    <w:p w14:paraId="7434835D" w14:textId="3F8E6F61" w:rsidR="001C4F37" w:rsidRDefault="00C96E83" w:rsidP="005C2203">
      <w:pPr>
        <w:spacing w:after="160" w:line="259" w:lineRule="auto"/>
      </w:pPr>
      <w:r>
        <w:t xml:space="preserve">In 2019, the FAIR I steering group took an evidence-based approach to reviewing whether </w:t>
      </w:r>
      <w:r w:rsidR="00D4534B">
        <w:t xml:space="preserve">a more </w:t>
      </w:r>
      <w:r w:rsidR="000E3C97">
        <w:t>individualised</w:t>
      </w:r>
      <w:r w:rsidR="001D1909">
        <w:t xml:space="preserve"> risk-based</w:t>
      </w:r>
      <w:r w:rsidR="00C62CA5">
        <w:t xml:space="preserve"> blood donor selection policy could be introduced in the UK. The work focused on MSM and </w:t>
      </w:r>
      <w:r w:rsidR="0053498C">
        <w:t xml:space="preserve">recommended that changes to the then population-based donor selection criteria should be made to introduce a gender-neutral </w:t>
      </w:r>
      <w:r w:rsidR="0032265F">
        <w:t xml:space="preserve">risk-based approach at an individual level. </w:t>
      </w:r>
      <w:r w:rsidR="00D77F74">
        <w:t>Under the new FAIR system</w:t>
      </w:r>
      <w:r w:rsidR="00012E7E">
        <w:t>,</w:t>
      </w:r>
      <w:r w:rsidR="00D77F74">
        <w:t xml:space="preserve"> </w:t>
      </w:r>
      <w:r w:rsidR="00012E7E">
        <w:t xml:space="preserve">all </w:t>
      </w:r>
      <w:r w:rsidR="00F839BE">
        <w:t>donors are asked additional questions about sexually transmitted infections</w:t>
      </w:r>
      <w:r w:rsidR="00E85C8B">
        <w:t xml:space="preserve">, </w:t>
      </w:r>
      <w:r w:rsidR="00D80A2B">
        <w:t xml:space="preserve">intentional </w:t>
      </w:r>
      <w:r w:rsidR="00012E7E">
        <w:t>sex under the influence of psychoactive drugs (</w:t>
      </w:r>
      <w:r w:rsidR="00D80A2B">
        <w:t>termed</w:t>
      </w:r>
      <w:r w:rsidR="00012E7E">
        <w:t xml:space="preserve"> </w:t>
      </w:r>
      <w:r w:rsidR="00E85C8B">
        <w:t>‘</w:t>
      </w:r>
      <w:proofErr w:type="spellStart"/>
      <w:r w:rsidR="00E85C8B">
        <w:t>chemsex</w:t>
      </w:r>
      <w:proofErr w:type="spellEnd"/>
      <w:r w:rsidR="00E85C8B">
        <w:t>’</w:t>
      </w:r>
      <w:r w:rsidR="00012E7E">
        <w:t>)</w:t>
      </w:r>
      <w:r w:rsidR="00E85C8B">
        <w:t xml:space="preserve">, and new and/or </w:t>
      </w:r>
      <w:r w:rsidR="00837999">
        <w:t xml:space="preserve">multiple </w:t>
      </w:r>
      <w:r w:rsidR="00381EC6">
        <w:t xml:space="preserve">sexual partners within the last 3-months. Those donors with recent new and/or multiple partners are asked an additional question about anal sex. </w:t>
      </w:r>
    </w:p>
    <w:p w14:paraId="776B401B" w14:textId="03C1588D" w:rsidR="005C2203" w:rsidRPr="00347BEB" w:rsidRDefault="001C4F37" w:rsidP="005C2203">
      <w:pPr>
        <w:spacing w:after="160" w:line="259" w:lineRule="auto"/>
      </w:pPr>
      <w:r>
        <w:t xml:space="preserve">Following the FAIR change, </w:t>
      </w:r>
      <w:r w:rsidR="00091B8E">
        <w:t>the possibility of applying this approach to other donors was reviewed</w:t>
      </w:r>
      <w:r w:rsidR="00347BEB">
        <w:t xml:space="preserve"> and the FAIR</w:t>
      </w:r>
      <w:r w:rsidR="005F2AAB">
        <w:t>-</w:t>
      </w:r>
      <w:r w:rsidR="00347BEB">
        <w:t>III steering group was established</w:t>
      </w:r>
      <w:r w:rsidR="00B032CB">
        <w:t xml:space="preserve"> to explore </w:t>
      </w:r>
      <w:r w:rsidR="00B264AE">
        <w:t xml:space="preserve">applying FAIR to tissue and cell donors. </w:t>
      </w:r>
      <w:r w:rsidR="00347BEB">
        <w:t xml:space="preserve"> </w:t>
      </w:r>
    </w:p>
    <w:p w14:paraId="065F7735" w14:textId="703D4463" w:rsidR="00144889" w:rsidRDefault="00144889" w:rsidP="005C2203">
      <w:pPr>
        <w:spacing w:after="160" w:line="259" w:lineRule="auto"/>
      </w:pPr>
      <w:r>
        <w:t xml:space="preserve">For living donors: </w:t>
      </w:r>
    </w:p>
    <w:p w14:paraId="797571AA" w14:textId="453EB434" w:rsidR="00144889" w:rsidRDefault="00E35974" w:rsidP="00144889">
      <w:pPr>
        <w:pStyle w:val="ListParagraph"/>
        <w:numPr>
          <w:ilvl w:val="0"/>
          <w:numId w:val="1"/>
        </w:numPr>
        <w:spacing w:after="160" w:line="259" w:lineRule="auto"/>
      </w:pPr>
      <w:r>
        <w:t>T</w:t>
      </w:r>
      <w:r w:rsidR="00144889">
        <w:t>issue and surgical bone donors: FAIR</w:t>
      </w:r>
      <w:r w:rsidR="00D10629">
        <w:t>-III</w:t>
      </w:r>
      <w:r w:rsidR="00144889">
        <w:t xml:space="preserve"> </w:t>
      </w:r>
      <w:r w:rsidR="005C6105">
        <w:t>should</w:t>
      </w:r>
      <w:r w:rsidR="00144889">
        <w:t xml:space="preserve"> be implemented in full.</w:t>
      </w:r>
    </w:p>
    <w:p w14:paraId="04FC32A4" w14:textId="33DA3317" w:rsidR="00144889" w:rsidRDefault="00144889" w:rsidP="00144889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Cord blood and stem cell donors: </w:t>
      </w:r>
      <w:r w:rsidR="002E7CFC">
        <w:t>FAIR</w:t>
      </w:r>
      <w:r w:rsidR="00D10629">
        <w:t>-III</w:t>
      </w:r>
      <w:r w:rsidR="002E7CFC">
        <w:t xml:space="preserve"> can be implemented safely for cord blood and stem cell </w:t>
      </w:r>
      <w:r w:rsidR="00580547">
        <w:t>donors</w:t>
      </w:r>
      <w:r w:rsidR="00F17EBD">
        <w:t>, however questions about MSM would need to remain for some stem cells donors</w:t>
      </w:r>
      <w:r w:rsidR="00D10629">
        <w:t xml:space="preserve"> who donate for international </w:t>
      </w:r>
      <w:r w:rsidR="005F2AAB">
        <w:t>patients</w:t>
      </w:r>
      <w:r w:rsidR="00D10629">
        <w:t xml:space="preserve"> as each country </w:t>
      </w:r>
      <w:r w:rsidR="005F2AAB">
        <w:t xml:space="preserve">needs to comply </w:t>
      </w:r>
      <w:r w:rsidR="00A712BC">
        <w:t>with</w:t>
      </w:r>
      <w:r w:rsidR="00D10629">
        <w:t xml:space="preserve"> their own legal framework,</w:t>
      </w:r>
      <w:r w:rsidR="00012E7E">
        <w:t xml:space="preserve"> </w:t>
      </w:r>
    </w:p>
    <w:p w14:paraId="31ABCEFB" w14:textId="77777777" w:rsidR="00566B41" w:rsidRDefault="00F17EBD" w:rsidP="00144889">
      <w:pPr>
        <w:pStyle w:val="ListParagraph"/>
        <w:numPr>
          <w:ilvl w:val="0"/>
          <w:numId w:val="1"/>
        </w:numPr>
        <w:spacing w:after="160" w:line="259" w:lineRule="auto"/>
      </w:pPr>
      <w:r>
        <w:lastRenderedPageBreak/>
        <w:t xml:space="preserve">Implementation </w:t>
      </w:r>
      <w:r w:rsidR="00E35974">
        <w:t>requires additional communications be prepared to amend pre-donation information on rational</w:t>
      </w:r>
      <w:r w:rsidR="00396AE7">
        <w:t>e</w:t>
      </w:r>
      <w:r w:rsidR="00E35974">
        <w:t xml:space="preserve"> to help with consent</w:t>
      </w:r>
      <w:r w:rsidR="00396AE7">
        <w:t xml:space="preserve">, include a recipient focus and stakeholder engagement. </w:t>
      </w:r>
    </w:p>
    <w:p w14:paraId="65ED2869" w14:textId="4122A4D9" w:rsidR="00F17EBD" w:rsidRDefault="00566B41" w:rsidP="00144889">
      <w:pPr>
        <w:pStyle w:val="ListParagraph"/>
        <w:numPr>
          <w:ilvl w:val="0"/>
          <w:numId w:val="1"/>
        </w:numPr>
        <w:spacing w:after="160" w:line="259" w:lineRule="auto"/>
      </w:pPr>
      <w:r>
        <w:t>A plan for monitoring and evaluation should be devised to include a 6-month and 12-month review.</w:t>
      </w:r>
      <w:r w:rsidR="00E35974">
        <w:t xml:space="preserve"> </w:t>
      </w:r>
    </w:p>
    <w:p w14:paraId="63F5F323" w14:textId="15767EB1" w:rsidR="005C6105" w:rsidRDefault="005C6105" w:rsidP="005C6105">
      <w:pPr>
        <w:spacing w:after="160" w:line="259" w:lineRule="auto"/>
      </w:pPr>
      <w:r>
        <w:t xml:space="preserve">For deceased donors: </w:t>
      </w:r>
    </w:p>
    <w:p w14:paraId="7DE70A43" w14:textId="25CF65B3" w:rsidR="005C6105" w:rsidRDefault="005C6105" w:rsidP="005C6105">
      <w:pPr>
        <w:pStyle w:val="ListParagraph"/>
        <w:numPr>
          <w:ilvl w:val="0"/>
          <w:numId w:val="2"/>
        </w:numPr>
        <w:spacing w:after="160" w:line="259" w:lineRule="auto"/>
      </w:pPr>
      <w:r>
        <w:t>FAIR</w:t>
      </w:r>
      <w:r w:rsidR="005F2AAB">
        <w:t>-III</w:t>
      </w:r>
      <w:r>
        <w:t xml:space="preserve"> should be implemented in full for deceased donors.</w:t>
      </w:r>
    </w:p>
    <w:p w14:paraId="3DC9461B" w14:textId="1D4F0C78" w:rsidR="005C6105" w:rsidRDefault="005C6105" w:rsidP="005C6105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Implementation </w:t>
      </w:r>
      <w:r w:rsidR="00273C32">
        <w:t xml:space="preserve">requires </w:t>
      </w:r>
      <w:r w:rsidR="004671BD">
        <w:t xml:space="preserve">additional communications be prepared for donor families and staff, and potential impact on donor deferral is monitored. </w:t>
      </w:r>
    </w:p>
    <w:p w14:paraId="7C9E199A" w14:textId="3FDC2314" w:rsidR="00924C52" w:rsidRDefault="00924C52" w:rsidP="005C6105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Post implementation </w:t>
      </w:r>
      <w:r w:rsidR="00AB1A28">
        <w:t xml:space="preserve">monitoring should be devised to include a 6-month and 12-month review and capture the impact of </w:t>
      </w:r>
      <w:r w:rsidR="007E5F6C">
        <w:t>FAIR</w:t>
      </w:r>
      <w:r w:rsidR="005F2AAB">
        <w:t>-III</w:t>
      </w:r>
      <w:r w:rsidR="007E5F6C">
        <w:t xml:space="preserve"> questions on donor deferrals. </w:t>
      </w:r>
    </w:p>
    <w:p w14:paraId="0979C7E6" w14:textId="77777777" w:rsidR="00BD05F7" w:rsidRDefault="00BD05F7" w:rsidP="00BD05F7">
      <w:pPr>
        <w:spacing w:after="160" w:line="259" w:lineRule="auto"/>
      </w:pPr>
    </w:p>
    <w:p w14:paraId="10F5976D" w14:textId="11ED54A4" w:rsidR="00BD05F7" w:rsidRPr="004A05C6" w:rsidRDefault="00BD05F7" w:rsidP="00BD05F7">
      <w:pPr>
        <w:spacing w:after="160" w:line="259" w:lineRule="auto"/>
      </w:pPr>
      <w:r>
        <w:t xml:space="preserve">The published report is available at the following link: </w:t>
      </w:r>
      <w:hyperlink r:id="rId8" w:history="1">
        <w:r w:rsidR="00772EB0">
          <w:rPr>
            <w:rStyle w:val="Hyperlink"/>
          </w:rPr>
          <w:t>Written statements - Written questions, answers and statements - UK Parliament</w:t>
        </w:r>
      </w:hyperlink>
    </w:p>
    <w:p w14:paraId="426B2595" w14:textId="34F665B6" w:rsidR="006B5EAB" w:rsidRDefault="002E31A2" w:rsidP="006B5EAB">
      <w:pPr>
        <w:spacing w:after="160" w:line="259" w:lineRule="auto"/>
      </w:pPr>
      <w:r>
        <w:t>NHS</w:t>
      </w:r>
      <w:r w:rsidR="00012E7E">
        <w:t>BT, WBS</w:t>
      </w:r>
      <w:r>
        <w:t>, h</w:t>
      </w:r>
      <w:r w:rsidR="005B2B4E">
        <w:t xml:space="preserve">ealth </w:t>
      </w:r>
      <w:r>
        <w:t>b</w:t>
      </w:r>
      <w:r w:rsidR="005B2B4E">
        <w:t xml:space="preserve">oards and trusts will need to amend their consent procedures where living or deceased </w:t>
      </w:r>
      <w:r>
        <w:t xml:space="preserve">tissue or cell </w:t>
      </w:r>
      <w:r w:rsidR="005B2B4E">
        <w:t xml:space="preserve">donation is taking place to ensure </w:t>
      </w:r>
      <w:r>
        <w:t>the FAIR</w:t>
      </w:r>
      <w:r w:rsidR="005F2AAB">
        <w:t xml:space="preserve">-III </w:t>
      </w:r>
      <w:r>
        <w:t>questions are incorporated and consent or patient information is updated or revised to explain the FAIR</w:t>
      </w:r>
      <w:r w:rsidR="005F2AAB">
        <w:t xml:space="preserve">-III </w:t>
      </w:r>
      <w:r>
        <w:t>questions.</w:t>
      </w:r>
    </w:p>
    <w:sectPr w:rsidR="006B5EAB" w:rsidSect="003F6224">
      <w:pgSz w:w="11907" w:h="16840" w:code="9"/>
      <w:pgMar w:top="99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A30"/>
    <w:multiLevelType w:val="hybridMultilevel"/>
    <w:tmpl w:val="AD5EA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6F0B"/>
    <w:multiLevelType w:val="hybridMultilevel"/>
    <w:tmpl w:val="6F32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155776">
    <w:abstractNumId w:val="1"/>
  </w:num>
  <w:num w:numId="2" w16cid:durableId="91077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03"/>
    <w:rsid w:val="00012E7E"/>
    <w:rsid w:val="00032283"/>
    <w:rsid w:val="0005246B"/>
    <w:rsid w:val="00091B8E"/>
    <w:rsid w:val="000A21D4"/>
    <w:rsid w:val="000E3C97"/>
    <w:rsid w:val="00144889"/>
    <w:rsid w:val="001C4F37"/>
    <w:rsid w:val="001D1909"/>
    <w:rsid w:val="001E777C"/>
    <w:rsid w:val="002420F3"/>
    <w:rsid w:val="00273C32"/>
    <w:rsid w:val="002E31A2"/>
    <w:rsid w:val="002E3735"/>
    <w:rsid w:val="002E7CFC"/>
    <w:rsid w:val="0032265F"/>
    <w:rsid w:val="00347BEB"/>
    <w:rsid w:val="00381EC6"/>
    <w:rsid w:val="00392C3B"/>
    <w:rsid w:val="00393BB5"/>
    <w:rsid w:val="00396AE7"/>
    <w:rsid w:val="003C5871"/>
    <w:rsid w:val="004671BD"/>
    <w:rsid w:val="00483062"/>
    <w:rsid w:val="004A05C6"/>
    <w:rsid w:val="004D3416"/>
    <w:rsid w:val="0053498C"/>
    <w:rsid w:val="00566B41"/>
    <w:rsid w:val="00580547"/>
    <w:rsid w:val="005B2B4E"/>
    <w:rsid w:val="005C2203"/>
    <w:rsid w:val="005C6105"/>
    <w:rsid w:val="005F2AAB"/>
    <w:rsid w:val="006B5EAB"/>
    <w:rsid w:val="00731E4C"/>
    <w:rsid w:val="00770B07"/>
    <w:rsid w:val="00772EB0"/>
    <w:rsid w:val="007E5F6C"/>
    <w:rsid w:val="00837999"/>
    <w:rsid w:val="008F7AEF"/>
    <w:rsid w:val="00911220"/>
    <w:rsid w:val="00924C52"/>
    <w:rsid w:val="00952344"/>
    <w:rsid w:val="009F6885"/>
    <w:rsid w:val="00A127F9"/>
    <w:rsid w:val="00A712BC"/>
    <w:rsid w:val="00A97621"/>
    <w:rsid w:val="00AB1A28"/>
    <w:rsid w:val="00AC7836"/>
    <w:rsid w:val="00B032CB"/>
    <w:rsid w:val="00B264AE"/>
    <w:rsid w:val="00BD05F7"/>
    <w:rsid w:val="00C62CA5"/>
    <w:rsid w:val="00C96E83"/>
    <w:rsid w:val="00D10629"/>
    <w:rsid w:val="00D4534B"/>
    <w:rsid w:val="00D77F74"/>
    <w:rsid w:val="00D80A2B"/>
    <w:rsid w:val="00D97DEB"/>
    <w:rsid w:val="00DF1A16"/>
    <w:rsid w:val="00DF7B1D"/>
    <w:rsid w:val="00E35974"/>
    <w:rsid w:val="00E75069"/>
    <w:rsid w:val="00E85C8B"/>
    <w:rsid w:val="00EB13E3"/>
    <w:rsid w:val="00F17EBD"/>
    <w:rsid w:val="00F839BE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A9AB"/>
  <w15:chartTrackingRefBased/>
  <w15:docId w15:val="{5FE33523-9FE3-48F3-BE59-7AD6296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C2203"/>
    <w:pPr>
      <w:keepNext/>
      <w:tabs>
        <w:tab w:val="left" w:pos="3436"/>
      </w:tabs>
      <w:outlineLvl w:val="1"/>
    </w:pPr>
    <w:rPr>
      <w:i/>
      <w:sz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C2203"/>
    <w:pPr>
      <w:keepNext/>
      <w:tabs>
        <w:tab w:val="center" w:pos="5245"/>
      </w:tabs>
      <w:spacing w:after="120"/>
      <w:jc w:val="right"/>
      <w:outlineLvl w:val="8"/>
    </w:pPr>
    <w:rPr>
      <w:rFonts w:ascii="Times New Roman" w:hAnsi="Times New Roman"/>
      <w:b/>
      <w:color w:val="FF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2203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5C2203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Title">
    <w:name w:val="Title"/>
    <w:basedOn w:val="Normal"/>
    <w:link w:val="TitleChar"/>
    <w:qFormat/>
    <w:rsid w:val="005C2203"/>
    <w:pPr>
      <w:jc w:val="center"/>
    </w:pPr>
    <w:rPr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5C2203"/>
    <w:rPr>
      <w:rFonts w:ascii="Arial" w:eastAsia="Times New Roman" w:hAnsi="Arial" w:cs="Times New Roman"/>
      <w:sz w:val="36"/>
      <w:szCs w:val="20"/>
    </w:rPr>
  </w:style>
  <w:style w:type="paragraph" w:styleId="Header">
    <w:name w:val="header"/>
    <w:basedOn w:val="Normal"/>
    <w:link w:val="HeaderChar"/>
    <w:rsid w:val="005C2203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5C2203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2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4889"/>
    <w:pPr>
      <w:ind w:left="720"/>
      <w:contextualSpacing/>
    </w:pPr>
  </w:style>
  <w:style w:type="paragraph" w:styleId="Revision">
    <w:name w:val="Revision"/>
    <w:hidden/>
    <w:uiPriority w:val="99"/>
    <w:semiHidden/>
    <w:rsid w:val="00012E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0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A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A2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2B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questions-statements.parliament.uk/written-statements/detail/2023-09-18/hcws1032" TargetMode="External" Id="rId8" /><Relationship Type="http://schemas.openxmlformats.org/officeDocument/2006/relationships/styles" Target="styles.xml" Id="rId3" /><Relationship Type="http://schemas.openxmlformats.org/officeDocument/2006/relationships/hyperlink" Target="mailto:QualityAndNursing@gov.wales" TargetMode="External" Id="rId7" /><Relationship Type="http://schemas.openxmlformats.org/officeDocument/2006/relationships/numbering" Target="numbering.xml" Id="rId2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b829336dd7f543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A44632078</value>
    </field>
    <field name="Objective-Title">
      <value order="0">WHC 2023-008 - SaBTO FAIR III Tissue and Cell Donation (MA_EM_2429_22) (eng) V2</value>
    </field>
    <field name="Objective-Description">
      <value order="0"/>
    </field>
    <field name="Objective-CreationStamp">
      <value order="0">2023-03-23T12:42:58Z</value>
    </field>
    <field name="Objective-IsApproved">
      <value order="0">false</value>
    </field>
    <field name="Objective-IsPublished">
      <value order="0">true</value>
    </field>
    <field name="Objective-DatePublished">
      <value order="0">2023-09-25T09:48:58Z</value>
    </field>
    <field name="Objective-ModificationStamp">
      <value order="0">2023-09-25T09:48:58Z</value>
    </field>
    <field name="Objective-Owner">
      <value order="0">O'Neill, Kate (HSS - NHS Wales Performance)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- 2022:MA/EM/2429/22 - SaBTO FAIR III recomendations - Tissue and Cell donation</value>
    </field>
    <field name="Objective-Parent">
      <value order="0">MA/EM/2429/22 - SaBTO FAIR III recomendations - Tissue and Cell donation</value>
    </field>
    <field name="Objective-State">
      <value order="0">Published</value>
    </field>
    <field name="Objective-VersionId">
      <value order="0">vA88761765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qA1505232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Kate (HSS - Quality &amp; Nursing Directorate)</dc:creator>
  <cp:keywords/>
  <dc:description/>
  <cp:lastModifiedBy>Evans, Liza (HSS - Quality &amp; Nursing Directorate)</cp:lastModifiedBy>
  <cp:revision>6</cp:revision>
  <dcterms:created xsi:type="dcterms:W3CDTF">2023-03-22T22:28:00Z</dcterms:created>
  <dcterms:modified xsi:type="dcterms:W3CDTF">2023-09-18T13:07:00Z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A44632078</vt:lpwstr>
  </property>
  <property fmtid="{D5CDD505-2E9C-101B-9397-08002B2CF9AE}" pid="4" name="Objective-Title">
    <vt:lpwstr>WHC 2023-008 - SaBTO FAIR III Tissue and Cell Donation (MA_EM_2429_22) (eng) V2</vt:lpwstr>
  </property>
  <property fmtid="{D5CDD505-2E9C-101B-9397-08002B2CF9AE}" pid="5" name="Objective-Comment">
    <vt:lpwstr/>
  </property>
  <property fmtid="{D5CDD505-2E9C-101B-9397-08002B2CF9AE}" pid="6" name="Objective-CreationStamp">
    <vt:filetime>2023-03-23T12:43:12Z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2023-09-25T09:48:58Z</vt:filetime>
  </property>
  <property fmtid="{D5CDD505-2E9C-101B-9397-08002B2CF9AE}" pid="10" name="Objective-ModificationStamp">
    <vt:filetime>2023-09-25T09:48:58Z</vt:filetime>
  </property>
  <property fmtid="{D5CDD505-2E9C-101B-9397-08002B2CF9AE}" pid="11" name="Objective-Owner">
    <vt:lpwstr>O'Neill, Kate (HSS - NHS Wales Performance)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- 2022:Eluned Morgan - Minister for Health and Social Services - Population Health Division - Ministerial Advice [MAP] - 2022:MA/EM/2429/22 - SaBTO FAIR III recomendations - Tissue and Cell donation:</vt:lpwstr>
  </property>
  <property fmtid="{D5CDD505-2E9C-101B-9397-08002B2CF9AE}" pid="13" name="Objective-Parent">
    <vt:lpwstr>MA/EM/2429/22 - SaBTO FAIR III recomendations - Tissue and Cell donation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Acquired">
    <vt:lpwstr/>
  </property>
  <property fmtid="{D5CDD505-2E9C-101B-9397-08002B2CF9AE}" pid="22" name="Objective-Official Translation">
    <vt:lpwstr/>
  </property>
  <property fmtid="{D5CDD505-2E9C-101B-9397-08002B2CF9AE}" pid="23" name="Objective-Connect Creator">
    <vt:lpwstr/>
  </property>
  <property fmtid="{D5CDD505-2E9C-101B-9397-08002B2CF9AE}" pid="24" name="Objective-Description">
    <vt:lpwstr/>
  </property>
  <property fmtid="{D5CDD505-2E9C-101B-9397-08002B2CF9AE}" pid="25" name="Objective-VersionId">
    <vt:lpwstr>vA88761765</vt:lpwstr>
  </property>
</Properties>
</file>