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e7fff486f88463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954" w:rsidRPr="00E51954" w:rsidRDefault="00E51954" w:rsidP="00E51954">
      <w:pPr>
        <w:spacing w:after="360"/>
        <w:ind w:left="993" w:hanging="709"/>
        <w:jc w:val="center"/>
        <w:rPr>
          <w:rFonts w:ascii="Arial" w:hAnsi="Arial" w:cs="Arial"/>
          <w:b/>
          <w:bCs/>
          <w:sz w:val="28"/>
          <w:szCs w:val="28"/>
        </w:rPr>
      </w:pPr>
      <w:r w:rsidRPr="00E51954">
        <w:rPr>
          <w:rFonts w:ascii="Arial" w:hAnsi="Arial" w:cs="Arial"/>
          <w:b/>
          <w:bCs/>
          <w:sz w:val="28"/>
          <w:szCs w:val="28"/>
        </w:rPr>
        <w:t>WelTAG Key Points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WelTAG to be firmly focused on achieving WTS outcomes including modal shift.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NOT want overly long documents written solely by consultants.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evidence of clear outcome-focused thinking.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use innovative approaches and technology in both developing and implementing transport projects</w:t>
      </w:r>
      <w:r>
        <w:rPr>
          <w:sz w:val="28"/>
          <w:szCs w:val="28"/>
        </w:rPr>
        <w:t>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draw on existing analysis and plans, including the work of the Transport for Wales (TfW) Geospatial and Strategic Transport Analysis unit (G-STAT).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take a proportional approach.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follow the five ways of working set out in the Well-being of Future Generations (Wales) Act 2015 including involving people.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use quantitative and qualitative evidence, even if you are not preparing BCRs.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include disincentives for car use as well as incentives for more sustainable travel.</w:t>
      </w:r>
    </w:p>
    <w:p w:rsidR="00E51954" w:rsidRPr="00E51954" w:rsidRDefault="00E519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 w:rsidRPr="00E51954">
        <w:rPr>
          <w:sz w:val="28"/>
          <w:szCs w:val="28"/>
        </w:rPr>
        <w:t>We DO want you to embed well-being in the design of your project, not bolt it on at the end.</w:t>
      </w:r>
    </w:p>
    <w:p w:rsidR="00E51954" w:rsidRDefault="00E51954"/>
    <w:sectPr w:rsidR="00E51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1247"/>
    <w:multiLevelType w:val="hybridMultilevel"/>
    <w:tmpl w:val="AEAC6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0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54"/>
    <w:rsid w:val="00E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9B06"/>
  <w15:chartTrackingRefBased/>
  <w15:docId w15:val="{1112C735-9BEF-47D7-8F1F-3DECC90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1954"/>
    <w:pPr>
      <w:spacing w:after="0" w:line="240" w:lineRule="auto"/>
    </w:pPr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954"/>
    <w:rPr>
      <w:rFonts w:ascii="Arial" w:eastAsia="Times New Roman" w:hAnsi="Arial"/>
      <w:kern w:val="0"/>
      <w:sz w:val="24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0e4a2c7460154a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A46909207</value>
    </field>
    <field name="Objective-Title">
      <value order="0">WelTAG Key Points - ENG</value>
    </field>
    <field name="Objective-Description">
      <value order="0"/>
    </field>
    <field name="Objective-CreationStamp">
      <value order="0">2023-09-28T11:08:35Z</value>
    </field>
    <field name="Objective-IsApproved">
      <value order="0">false</value>
    </field>
    <field name="Objective-IsPublished">
      <value order="0">true</value>
    </field>
    <field name="Objective-DatePublished">
      <value order="0">2024-01-26T15:00:21Z</value>
    </field>
    <field name="Objective-ModificationStamp">
      <value order="0">2024-01-26T15:00:21Z</value>
    </field>
    <field name="Objective-Owner">
      <value order="0">James, Corinna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progress:Branch - Transport Planners - Corinna James:WelTAG - Transport Appraisal Guidance:WeITAG (Transport Appraisal Guidance) - Review and Update 2021 - Economic Infrastructure - Transport </value>
    </field>
    <field name="Objective-Parent">
      <value order="0">WeITAG (Transport Appraisal Guidance) - Review and Update 2021 - Economic Infrastructure - Transport </value>
    </field>
    <field name="Objective-State">
      <value order="0">Published</value>
    </field>
    <field name="Objective-VersionId">
      <value order="0">vA92506312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qA1469417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>Welsh Government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Corinna (CCRA - Transport and Digital Connectivity)</dc:creator>
  <cp:keywords/>
  <dc:description/>
  <cp:lastModifiedBy>James, Corinna (CCRA - Transport and Digital Connectivity)</cp:lastModifiedBy>
  <cp:revision>1</cp:revision>
  <dcterms:created xsi:type="dcterms:W3CDTF">2023-09-28T09:58:00Z</dcterms:created>
  <dcterms:modified xsi:type="dcterms:W3CDTF">2023-09-28T10:08:00Z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A46909207</vt:lpwstr>
  </property>
  <property fmtid="{D5CDD505-2E9C-101B-9397-08002B2CF9AE}" pid="4" name="Objective-Title">
    <vt:lpwstr>WelTAG Key Points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2023-09-28T11:08:35Z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2024-01-26T15:00:21Z</vt:filetime>
  </property>
  <property fmtid="{D5CDD505-2E9C-101B-9397-08002B2CF9AE}" pid="10" name="Objective-ModificationStamp">
    <vt:filetime>2024-01-26T15:00:21Z</vt:filetime>
  </property>
  <property fmtid="{D5CDD505-2E9C-101B-9397-08002B2CF9AE}" pid="11" name="Objective-Owner">
    <vt:lpwstr>James, Corinna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progress:Branch - Transport Planners - Corinna James:WelTAG - Transport Appraisal Guidance:WeITAG (Transport Appraisal Guidance) - Review and Update 2021 - Economic Infrastructure - Transport :</vt:lpwstr>
  </property>
  <property fmtid="{D5CDD505-2E9C-101B-9397-08002B2CF9AE}" pid="13" name="Objective-Parent">
    <vt:lpwstr>WeITAG (Transport Appraisal Guidance) - Review and Update 2021 - Economic Infrastructure - Transport 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vA92506312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2023-09-28T00:00:00Z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