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57AF48" w14:textId="77777777" w:rsidR="00E85209" w:rsidRPr="00E926A8" w:rsidRDefault="00E85209" w:rsidP="00E85209">
      <w:pPr>
        <w:jc w:val="center"/>
        <w:rPr>
          <w:rFonts w:ascii="Arial" w:eastAsia="Times New Roman" w:hAnsi="Arial" w:cs="Arial"/>
          <w:b/>
          <w:bCs/>
          <w:noProof/>
          <w:kern w:val="0"/>
          <w:sz w:val="40"/>
          <w:szCs w:val="40"/>
          <w:lang w:eastAsia="en-GB"/>
          <w14:ligatures w14:val="none"/>
        </w:rPr>
      </w:pPr>
      <w:r w:rsidRPr="00E926A8">
        <w:rPr>
          <w:rFonts w:ascii="Arial" w:eastAsia="Times New Roman" w:hAnsi="Arial" w:cs="Arial"/>
          <w:b/>
          <w:bCs/>
          <w:noProof/>
          <w:kern w:val="0"/>
          <w:sz w:val="40"/>
          <w:szCs w:val="40"/>
          <w:lang w:eastAsia="en-GB"/>
          <w14:ligatures w14:val="none"/>
        </w:rPr>
        <w:t>Provider Selection Regime Wales</w:t>
      </w:r>
    </w:p>
    <w:p w14:paraId="6C919379" w14:textId="28E0AEE2" w:rsidR="00E85209" w:rsidRPr="00E926A8" w:rsidRDefault="00E85209" w:rsidP="00E85209">
      <w:pPr>
        <w:jc w:val="center"/>
        <w:rPr>
          <w:rFonts w:ascii="Arial" w:hAnsi="Arial" w:cs="Arial"/>
          <w:b/>
          <w:bCs/>
          <w:sz w:val="40"/>
          <w:szCs w:val="40"/>
        </w:rPr>
      </w:pPr>
      <w:r w:rsidRPr="00E926A8">
        <w:rPr>
          <w:rFonts w:ascii="Arial" w:eastAsia="Times New Roman" w:hAnsi="Arial" w:cs="Arial"/>
          <w:b/>
          <w:bCs/>
          <w:noProof/>
          <w:kern w:val="0"/>
          <w:sz w:val="40"/>
          <w:szCs w:val="40"/>
          <w:lang w:eastAsia="en-GB"/>
          <w14:ligatures w14:val="none"/>
        </w:rPr>
        <w:t xml:space="preserve">Review </w:t>
      </w:r>
      <w:r w:rsidR="00BB5D29" w:rsidRPr="00E926A8">
        <w:rPr>
          <w:rFonts w:ascii="Arial" w:eastAsia="Times New Roman" w:hAnsi="Arial" w:cs="Arial"/>
          <w:b/>
          <w:bCs/>
          <w:noProof/>
          <w:kern w:val="0"/>
          <w:sz w:val="40"/>
          <w:szCs w:val="40"/>
          <w:lang w:eastAsia="en-GB"/>
          <w14:ligatures w14:val="none"/>
        </w:rPr>
        <w:t xml:space="preserve">of </w:t>
      </w:r>
      <w:r w:rsidRPr="00E926A8">
        <w:rPr>
          <w:rFonts w:ascii="Arial" w:eastAsia="Times New Roman" w:hAnsi="Arial" w:cs="Arial"/>
          <w:b/>
          <w:bCs/>
          <w:noProof/>
          <w:kern w:val="0"/>
          <w:sz w:val="40"/>
          <w:szCs w:val="40"/>
          <w:lang w:eastAsia="en-GB"/>
          <w14:ligatures w14:val="none"/>
        </w:rPr>
        <w:t xml:space="preserve">decisions during the standstill period </w:t>
      </w:r>
    </w:p>
    <w:p w14:paraId="07012798" w14:textId="748F2E76" w:rsidR="00B82F5D" w:rsidRDefault="00211750" w:rsidP="00E85209">
      <w:pPr>
        <w:jc w:val="center"/>
        <w:rPr>
          <w:rFonts w:ascii="Arial" w:hAnsi="Arial" w:cs="Arial"/>
          <w:b/>
          <w:bCs/>
        </w:rPr>
      </w:pPr>
      <w:r>
        <w:rPr>
          <w:rFonts w:ascii="Arial" w:hAnsi="Arial" w:cs="Arial"/>
          <w:b/>
          <w:bCs/>
          <w:noProof/>
        </w:rPr>
        <mc:AlternateContent>
          <mc:Choice Requires="wps">
            <w:drawing>
              <wp:anchor distT="0" distB="0" distL="114300" distR="114300" simplePos="0" relativeHeight="251659264" behindDoc="0" locked="0" layoutInCell="1" allowOverlap="1" wp14:anchorId="5912031F" wp14:editId="2E05285B">
                <wp:simplePos x="0" y="0"/>
                <wp:positionH relativeFrom="column">
                  <wp:posOffset>2667635</wp:posOffset>
                </wp:positionH>
                <wp:positionV relativeFrom="paragraph">
                  <wp:posOffset>33655</wp:posOffset>
                </wp:positionV>
                <wp:extent cx="4730371" cy="971550"/>
                <wp:effectExtent l="19050" t="19050" r="13335" b="19050"/>
                <wp:wrapNone/>
                <wp:docPr id="946956172" name="Rectangle: Rounded Corners 4"/>
                <wp:cNvGraphicFramePr/>
                <a:graphic xmlns:a="http://schemas.openxmlformats.org/drawingml/2006/main">
                  <a:graphicData uri="http://schemas.microsoft.com/office/word/2010/wordprocessingShape">
                    <wps:wsp>
                      <wps:cNvSpPr/>
                      <wps:spPr>
                        <a:xfrm>
                          <a:off x="0" y="0"/>
                          <a:ext cx="4730371" cy="971550"/>
                        </a:xfrm>
                        <a:prstGeom prst="roundRect">
                          <a:avLst/>
                        </a:prstGeom>
                        <a:noFill/>
                        <a:ln w="31750">
                          <a:solidFill>
                            <a:srgbClr val="C0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2D799BF" w14:textId="08BE4ACF" w:rsidR="00211750" w:rsidRPr="00BB5D29" w:rsidRDefault="00211750" w:rsidP="00211750">
                            <w:pPr>
                              <w:jc w:val="center"/>
                              <w:rPr>
                                <w:rFonts w:ascii="Arial" w:hAnsi="Arial" w:cs="Arial"/>
                                <w:b/>
                                <w:bCs/>
                                <w:color w:val="000000" w:themeColor="text1"/>
                                <w:sz w:val="28"/>
                                <w:szCs w:val="28"/>
                                <w:lang w:val="en-US"/>
                              </w:rPr>
                            </w:pPr>
                            <w:r w:rsidRPr="009C55C6">
                              <w:rPr>
                                <w:rFonts w:ascii="Arial" w:hAnsi="Arial" w:cs="Arial"/>
                                <w:b/>
                                <w:bCs/>
                                <w:color w:val="000000" w:themeColor="text1"/>
                                <w:sz w:val="32"/>
                                <w:szCs w:val="32"/>
                                <w:lang w:val="en-US"/>
                              </w:rPr>
                              <w:t>START</w:t>
                            </w:r>
                            <w:r w:rsidRPr="00BB5D29">
                              <w:rPr>
                                <w:rFonts w:ascii="Arial" w:hAnsi="Arial" w:cs="Arial"/>
                                <w:b/>
                                <w:bCs/>
                                <w:color w:val="000000" w:themeColor="text1"/>
                                <w:sz w:val="28"/>
                                <w:szCs w:val="28"/>
                                <w:lang w:val="en-US"/>
                              </w:rPr>
                              <w:t xml:space="preserve"> – the standstill period starts the day of the notice of the intention to award a contract is </w:t>
                            </w:r>
                            <w:r w:rsidR="00825FA9" w:rsidRPr="00BB5D29">
                              <w:rPr>
                                <w:rFonts w:ascii="Arial" w:hAnsi="Arial" w:cs="Arial"/>
                                <w:b/>
                                <w:bCs/>
                                <w:color w:val="000000" w:themeColor="text1"/>
                                <w:sz w:val="28"/>
                                <w:szCs w:val="28"/>
                                <w:lang w:val="en-US"/>
                              </w:rPr>
                              <w:t>published.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912031F" id="Rectangle: Rounded Corners 4" o:spid="_x0000_s1026" style="position:absolute;left:0;text-align:left;margin-left:210.05pt;margin-top:2.65pt;width:372.45pt;height:7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ehejgIAAHkFAAAOAAAAZHJzL2Uyb0RvYy54bWysVEtv2zAMvg/YfxB0Xx2nybIGdYogRYcB&#10;RVe0HXpWZCkWIIuapMTOfv0o+ZGgK3YY5oNMiuTHh0he37S1JgfhvAJT0PxiQokwHEpldgX98XL3&#10;6QslPjBTMg1GFPQoPL1Zffxw3dilmEIFuhSOIIjxy8YWtArBLrPM80rUzF+AFQaFElzNArJul5WO&#10;NYhe62w6mXzOGnCldcCF93h72wnpKuFLKXj4LqUXgeiCYmwhnS6d23hmq2u23DlmK8X7MNg/RFEz&#10;ZdDpCHXLAiN7p/6AqhV34EGGCw51BlIqLlIOmE0+eZPNc8WsSLlgcbwdy+T/Hyx/ODzbR4dlaKxf&#10;eiRjFq10dfxjfKRNxTqOxRJtIBwvZ4vLyeUip4Sj7GqRz+epmtnJ2jofvgqoSSQK6mBvyid8kVQo&#10;drj3Ad2i/qAXPRq4U1qnV9GGNAW9zBcIHEUetCqjNDFut91oRw4MH3YziV98S0Q7U0NOG7w8pZao&#10;cNQiYmjzJCRRJSYz7TzErhMjLONcmJB3ooqVovOWz8+cDRbJdQKMyBKjHLF7gEGzAxmwu5h7/Wgq&#10;UtOOxn3qfzMeLZJnMGE0rpUB915mGrPqPXf6Q5G60sQqhXbbokokt1AeHx1x0E2Pt/xO4YveMx8e&#10;mcNxwcHCFRC+4yE14KNBT1FSgfv13n3Uxy5GKSUNjl9B/c89c4IS/c1gf1/ls1mc18TM5ospMu5c&#10;sj2XmH29AWwE7EaMLpFRP+iBlA7qV9wU6+gVRcxw9F1QHtzAbEK3FnDXcLFeJzWcUcvCvXm2PILH&#10;AsdmfWlfmbN9WwcciAcYRpUt3zR2pxstDaz3AaRKXX+qa196nO/UQ/0uigvknE9ap425+g0AAP//&#10;AwBQSwMEFAAGAAgAAAAhAJXunoziAAAACgEAAA8AAABkcnMvZG93bnJldi54bWxMj8FOwzAQRO9I&#10;/IO1SFwQtdM2VRXiVAjEgUORWirE0Y2XJCJep7HThn492xPcdjSj2Tf5anStOGIfGk8akokCgVR6&#10;21ClYff+cr8EEaIha1pPqOEHA6yK66vcZNafaIPHbawEl1DIjIY6xi6TMpQ1OhMmvkNi78v3zkSW&#10;fSVtb05c7lo5VWohnWmIP9Smw6cay+/t4DSo83rzmh7uDsPnef723KuPtdo5rW9vxscHEBHH+BeG&#10;Cz6jQ8FMez+QDaLVMJ+qhKMa0hmIi58sUh635ytdzkAWufw/ofgFAAD//wMAUEsBAi0AFAAGAAgA&#10;AAAhALaDOJL+AAAA4QEAABMAAAAAAAAAAAAAAAAAAAAAAFtDb250ZW50X1R5cGVzXS54bWxQSwEC&#10;LQAUAAYACAAAACEAOP0h/9YAAACUAQAACwAAAAAAAAAAAAAAAAAvAQAAX3JlbHMvLnJlbHNQSwEC&#10;LQAUAAYACAAAACEAdJHoXo4CAAB5BQAADgAAAAAAAAAAAAAAAAAuAgAAZHJzL2Uyb0RvYy54bWxQ&#10;SwECLQAUAAYACAAAACEAle6ejOIAAAAKAQAADwAAAAAAAAAAAAAAAADoBAAAZHJzL2Rvd25yZXYu&#10;eG1sUEsFBgAAAAAEAAQA8wAAAPcFAAAAAA==&#10;" filled="f" strokecolor="#c00000" strokeweight="2.5pt">
                <v:stroke joinstyle="miter"/>
                <v:textbox>
                  <w:txbxContent>
                    <w:p w14:paraId="22D799BF" w14:textId="08BE4ACF" w:rsidR="00211750" w:rsidRPr="00BB5D29" w:rsidRDefault="00211750" w:rsidP="00211750">
                      <w:pPr>
                        <w:jc w:val="center"/>
                        <w:rPr>
                          <w:rFonts w:ascii="Arial" w:hAnsi="Arial" w:cs="Arial"/>
                          <w:b/>
                          <w:bCs/>
                          <w:color w:val="000000" w:themeColor="text1"/>
                          <w:sz w:val="28"/>
                          <w:szCs w:val="28"/>
                          <w:lang w:val="en-US"/>
                        </w:rPr>
                      </w:pPr>
                      <w:r w:rsidRPr="009C55C6">
                        <w:rPr>
                          <w:rFonts w:ascii="Arial" w:hAnsi="Arial" w:cs="Arial"/>
                          <w:b/>
                          <w:bCs/>
                          <w:color w:val="000000" w:themeColor="text1"/>
                          <w:sz w:val="32"/>
                          <w:szCs w:val="32"/>
                          <w:lang w:val="en-US"/>
                        </w:rPr>
                        <w:t>START</w:t>
                      </w:r>
                      <w:r w:rsidRPr="00BB5D29">
                        <w:rPr>
                          <w:rFonts w:ascii="Arial" w:hAnsi="Arial" w:cs="Arial"/>
                          <w:b/>
                          <w:bCs/>
                          <w:color w:val="000000" w:themeColor="text1"/>
                          <w:sz w:val="28"/>
                          <w:szCs w:val="28"/>
                          <w:lang w:val="en-US"/>
                        </w:rPr>
                        <w:t xml:space="preserve"> – the standstill period starts the day of the notice of the intention to award a contract is </w:t>
                      </w:r>
                      <w:r w:rsidR="00825FA9" w:rsidRPr="00BB5D29">
                        <w:rPr>
                          <w:rFonts w:ascii="Arial" w:hAnsi="Arial" w:cs="Arial"/>
                          <w:b/>
                          <w:bCs/>
                          <w:color w:val="000000" w:themeColor="text1"/>
                          <w:sz w:val="28"/>
                          <w:szCs w:val="28"/>
                          <w:lang w:val="en-US"/>
                        </w:rPr>
                        <w:t>published.</w:t>
                      </w:r>
                    </w:p>
                  </w:txbxContent>
                </v:textbox>
              </v:roundrect>
            </w:pict>
          </mc:Fallback>
        </mc:AlternateContent>
      </w:r>
    </w:p>
    <w:p w14:paraId="554247F3" w14:textId="5C005EEB" w:rsidR="00B82F5D" w:rsidRDefault="00BB5D29" w:rsidP="00E85209">
      <w:pPr>
        <w:jc w:val="center"/>
      </w:pPr>
      <w:r>
        <w:rPr>
          <w:noProof/>
        </w:rPr>
        <mc:AlternateContent>
          <mc:Choice Requires="wps">
            <w:drawing>
              <wp:anchor distT="0" distB="0" distL="114300" distR="114300" simplePos="0" relativeHeight="251663360" behindDoc="0" locked="0" layoutInCell="1" allowOverlap="1" wp14:anchorId="578013D1" wp14:editId="32895372">
                <wp:simplePos x="0" y="0"/>
                <wp:positionH relativeFrom="column">
                  <wp:posOffset>7376928</wp:posOffset>
                </wp:positionH>
                <wp:positionV relativeFrom="paragraph">
                  <wp:posOffset>14605</wp:posOffset>
                </wp:positionV>
                <wp:extent cx="412116" cy="731520"/>
                <wp:effectExtent l="0" t="0" r="45085" b="30480"/>
                <wp:wrapNone/>
                <wp:docPr id="1532510848" name="Arrow: Bent-Up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0800000" flipH="1">
                          <a:off x="0" y="0"/>
                          <a:ext cx="412116" cy="731520"/>
                        </a:xfrm>
                        <a:prstGeom prst="bentUpArrow">
                          <a:avLst>
                            <a:gd name="adj1" fmla="val 25000"/>
                            <a:gd name="adj2" fmla="val 25000"/>
                            <a:gd name="adj3" fmla="val 25000"/>
                          </a:avLst>
                        </a:prstGeom>
                        <a:solidFill>
                          <a:schemeClr val="tx1"/>
                        </a:solidFill>
                        <a:ln w="12700" cap="flat" cmpd="sng" algn="ctr">
                          <a:solidFill>
                            <a:srgbClr val="156082">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62D9F587" id="Arrow: Bent-Up 7" o:spid="_x0000_s1026" alt="&quot;&quot;" style="position:absolute;margin-left:580.85pt;margin-top:1.15pt;width:32.45pt;height:57.6pt;rotation:180;flip:x;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412116,731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QcroQIAAH8FAAAOAAAAZHJzL2Uyb0RvYy54bWysVEtPGzEQvlfqf7B8L/sgARqxQRGIthIq&#10;SIA4T7zerCu/ajvZ0F/fsb0JoXCoqu7BGntm5/HNN3N+sVWSbLjzwuiGVkclJVwz0wq9aujjw/Wn&#10;M0p8AN2CNJo39Jl7ejH/+OF8sDNem97IljuCTrSfDbahfQh2VhSe9VyBPzKWa1R2xikIeHWronUw&#10;oHcli7osT4rBuNY6w7j3+HqVlXSe/HcdZ+G26zwPRDYUcwvpdOlcxrOYn8Ns5cD2go1pwD9koUBo&#10;DLp3dQUByNqJN66UYM5404UjZlRhuk4wnmrAaqryj2rue7A81YLgeLuHyf8/t+z75t7eOYRhsH7m&#10;UYxVbDuniDOIVlWelfGjpJPCfsWHVCYmTrYJxec9inwbCMPHSVVX1QklDFWnx9W0TigX2Wv0bp0P&#10;X7hRJAoNXXIdHu3COTMk37C58SFh2RINCkkD7Y8KE1ASW7MBSeppzCi37sCm/gub43dtMLkxKkq7&#10;9GIK3kjRXgsp0yWSkl9KRzCJhoZtFXPAP15ZSU0GhKk+jaAxQE53EgKKyrYN9XpFCcgVDgsLLtX7&#10;6m/vVst9hGp6Up7V2aiHlue41a76GDmbv80iFnEFvs+/pBAZMCUCDpwUqqFjZ3MNUscSeRoZxD8+&#10;vjAiSkvTPt+5zAqszFt2LTDIDfhwBw47g4+4CMItHp00iIEZJUp643699x7tkcuopWTAIUR8fq7B&#10;cUrkN40s/1xNJug2pMtkeopUIu5QszzU6LW6NNgY5Apml8RoH+RO7JxRT7gvFjEqqkAzjJ07MV4u&#10;Q14OuHEYXyySGU6qhXCj7y3b8T/C+7B9AmdHEgdk/3ezG9iRThnZF9uIsDaLdTCd2COccR3hxilP&#10;vRw3Ulwjh/dk9bI3578BAAD//wMAUEsDBBQABgAIAAAAIQC08K2N4AAAAAsBAAAPAAAAZHJzL2Rv&#10;d25yZXYueG1sTI/LTsMwEEX3SPyDNUjsqPMAF4U4FUIgdUOlFiRYOvGQhMbjEDtN4OtxVrC8ukd3&#10;zuSb2XTshINrLUmIVxEwpMrqlmoJry9PV7fAnFekVWcJJXyjg01xfparTNuJ9ng6+JqFEXKZktB4&#10;32ecu6pBo9zK9kih+7CDUT7EoeZ6UFMYNx1Pokhwo1oKFxrV40OD1fEwGgli9/NZ7lI/pcf38fFr&#10;u3973l6TlJcX8/0dMI+z/4Nh0Q/qUASn0o6kHetCjkW8DqyEJAW2AEkiBLByqdY3wIuc//+h+AUA&#10;AP//AwBQSwECLQAUAAYACAAAACEAtoM4kv4AAADhAQAAEwAAAAAAAAAAAAAAAAAAAAAAW0NvbnRl&#10;bnRfVHlwZXNdLnhtbFBLAQItABQABgAIAAAAIQA4/SH/1gAAAJQBAAALAAAAAAAAAAAAAAAAAC8B&#10;AABfcmVscy8ucmVsc1BLAQItABQABgAIAAAAIQD82QcroQIAAH8FAAAOAAAAAAAAAAAAAAAAAC4C&#10;AABkcnMvZTJvRG9jLnhtbFBLAQItABQABgAIAAAAIQC08K2N4AAAAAsBAAAPAAAAAAAAAAAAAAAA&#10;APsEAABkcnMvZG93bnJldi54bWxQSwUGAAAAAAQABADzAAAACAYAAAAA&#10;" path="m,628491r257573,l257573,103029r-51515,l309087,,412116,103029r-51514,l360602,731520,,731520,,628491xe" fillcolor="black [3213]" strokecolor="#042433" strokeweight="1pt">
                <v:stroke joinstyle="miter"/>
                <v:path arrowok="t" o:connecttype="custom" o:connectlocs="0,628491;257573,628491;257573,103029;206058,103029;309087,0;412116,103029;360602,103029;360602,731520;0,731520;0,628491" o:connectangles="0,0,0,0,0,0,0,0,0,0"/>
              </v:shape>
            </w:pict>
          </mc:Fallback>
        </mc:AlternateContent>
      </w:r>
      <w:r>
        <w:rPr>
          <w:noProof/>
        </w:rPr>
        <mc:AlternateContent>
          <mc:Choice Requires="wps">
            <w:drawing>
              <wp:anchor distT="0" distB="0" distL="114300" distR="114300" simplePos="0" relativeHeight="251661312" behindDoc="0" locked="0" layoutInCell="1" allowOverlap="1" wp14:anchorId="1C8A5045" wp14:editId="5952FFC6">
                <wp:simplePos x="0" y="0"/>
                <wp:positionH relativeFrom="column">
                  <wp:posOffset>2211866</wp:posOffset>
                </wp:positionH>
                <wp:positionV relativeFrom="paragraph">
                  <wp:posOffset>8890</wp:posOffset>
                </wp:positionV>
                <wp:extent cx="412115" cy="731520"/>
                <wp:effectExtent l="19050" t="0" r="26035" b="30480"/>
                <wp:wrapNone/>
                <wp:docPr id="631651635" name="Arrow: Bent-Up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0800000">
                          <a:off x="0" y="0"/>
                          <a:ext cx="412115" cy="731520"/>
                        </a:xfrm>
                        <a:prstGeom prst="bentUp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E1D160A" id="Arrow: Bent-Up 7" o:spid="_x0000_s1026" alt="&quot;&quot;" style="position:absolute;margin-left:174.15pt;margin-top:.7pt;width:32.45pt;height:57.6pt;rotation:180;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412115,731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zjbgAIAAFsFAAAOAAAAZHJzL2Uyb0RvYy54bWysVEtvGyEQvlfqf0Dcm/W6dpNaWUdWolSV&#10;osRqEuWMWciuxDJ0wF67v74D+7CVppeqHNDAzHzz4Bsur/aNYTuFvgZb8PxswpmyEsravhb8+en2&#10;0wVnPghbCgNWFfygPL9afvxw2bqFmkIFplTICMT6ResKXoXgFlnmZaUa4c/AKUtKDdiIQEd8zUoU&#10;LaE3JptOJl+yFrB0CFJ5T7c3nZIvE77WSoYHrb0KzBSccgtpx7Rv4p4tL8XiFYWratmnIf4hi0bU&#10;loKOUDciCLbF+g+oppYIHnQ4k9BkoHUtVaqBqsknb6p5rIRTqRZqjndjm/z/g5X3u0e3RmpD6/zC&#10;kxir2GtsGAJ1K59cTOJKxVG6bJ96dxh7p/aBSbqc5dM8n3MmSXX+OZ9PU2+zDitiOvThm4KGRaHg&#10;G2XDs1shQpuwxe7OB0qDPAbL6OXB1OVtbUw6RFaoa4NsJ+g9wz6P70ceJ1bZsY4khYNR0dfYH0qz&#10;uqRUpylgotgRTEhJGeWdqhKl6mLk81h8H2UIn2ImwIisKbsRuwcYLDuQAbuD6e2jq0oMHZ27Lv8l&#10;sc559EiRwYbRuakt4HuVGaqqj9zZU/onrYniBsrDGrsXpynxTt7W9Ep3woe1QBoIuqQhDw+0aQNt&#10;waGXOKsAf713H+2Jp6TlrKUBK7j/uRWoODPfLTH4az6bxYlMh9n8nAjD8FSzOdXYbXMN9OZ5yi6J&#10;0T6YQdQIzQv9BasYlVTCSopdcBlwOFyHbvDpN5FqtUpmNIVOhDv76GQEj12N9Hvavwh0PVUDcfwe&#10;hmEUizdU7Wyjp4XVNoCuE4+Pfe37TROciNP/NvGLOD0nq+OfuPwNAAD//wMAUEsDBBQABgAIAAAA&#10;IQAj7RRJ3QAAAAkBAAAPAAAAZHJzL2Rvd25yZXYueG1sTI/BboMwEETvlfoP1kbqpWoMAUFEMVEV&#10;iUOPJZFydfAGo2AbYUPo33d7ao+jN5p9Wx5WM7AFJ987KyDeRsDQtk71thNwPtVve2A+SKvk4CwK&#10;+EYPh+r5qZSFcg/7hUsTOkYj1hdSgA5hLDj3rUYj/daNaInd3GRkoDh1XE3yQeNm4LsoyriRvaUL&#10;Wo541Njem9kIqPNzrrP12KyX+bKMr7f89FnnQrxs1o93YAHX8FeGX31Sh4qcrm62yrNBQJLuE6oS&#10;SIERT+NkB+xKOc4y4FXJ/39Q/QAAAP//AwBQSwECLQAUAAYACAAAACEAtoM4kv4AAADhAQAAEwAA&#10;AAAAAAAAAAAAAAAAAAAAW0NvbnRlbnRfVHlwZXNdLnhtbFBLAQItABQABgAIAAAAIQA4/SH/1gAA&#10;AJQBAAALAAAAAAAAAAAAAAAAAC8BAABfcmVscy8ucmVsc1BLAQItABQABgAIAAAAIQAsLzjbgAIA&#10;AFsFAAAOAAAAAAAAAAAAAAAAAC4CAABkcnMvZTJvRG9jLnhtbFBLAQItABQABgAIAAAAIQAj7RRJ&#10;3QAAAAkBAAAPAAAAAAAAAAAAAAAAANoEAABkcnMvZG93bnJldi54bWxQSwUGAAAAAAQABADzAAAA&#10;5AUAAAAA&#10;" path="m,628491r257572,l257572,103029r-51514,l309086,,412115,103029r-51514,l360601,731520,,731520,,628491xe" fillcolor="black [3213]" strokecolor="#030e13 [484]" strokeweight="1pt">
                <v:stroke joinstyle="miter"/>
                <v:path arrowok="t" o:connecttype="custom" o:connectlocs="0,628491;257572,628491;257572,103029;206058,103029;309086,0;412115,103029;360601,103029;360601,731520;0,731520;0,628491" o:connectangles="0,0,0,0,0,0,0,0,0,0"/>
              </v:shape>
            </w:pict>
          </mc:Fallback>
        </mc:AlternateContent>
      </w:r>
    </w:p>
    <w:p w14:paraId="157B9610" w14:textId="50920C9F" w:rsidR="00DF7050" w:rsidRDefault="00CE08F1" w:rsidP="003634A7">
      <w:pPr>
        <w:rPr>
          <w:rFonts w:ascii="Arial" w:eastAsia="Times New Roman" w:hAnsi="Arial" w:cs="Arial"/>
          <w:b/>
          <w:bCs/>
          <w:i/>
          <w:iCs/>
          <w:color w:val="000000" w:themeColor="text1"/>
          <w:kern w:val="0"/>
          <w:u w:val="single"/>
          <w:lang w:eastAsia="en-GB"/>
          <w14:ligatures w14:val="none"/>
        </w:rPr>
      </w:pPr>
      <w:r>
        <w:rPr>
          <w:noProof/>
        </w:rPr>
        <mc:AlternateContent>
          <mc:Choice Requires="wps">
            <w:drawing>
              <wp:anchor distT="0" distB="0" distL="114300" distR="114300" simplePos="0" relativeHeight="251665408" behindDoc="0" locked="0" layoutInCell="1" allowOverlap="1" wp14:anchorId="6B8754BE" wp14:editId="59C82255">
                <wp:simplePos x="0" y="0"/>
                <wp:positionH relativeFrom="column">
                  <wp:posOffset>4679760</wp:posOffset>
                </wp:positionH>
                <wp:positionV relativeFrom="paragraph">
                  <wp:posOffset>11152278</wp:posOffset>
                </wp:positionV>
                <wp:extent cx="308497" cy="267553"/>
                <wp:effectExtent l="19050" t="19050" r="15875" b="37465"/>
                <wp:wrapNone/>
                <wp:docPr id="59069452" name="Arrow: Left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08497" cy="267553"/>
                        </a:xfrm>
                        <a:prstGeom prst="leftArrow">
                          <a:avLst/>
                        </a:prstGeom>
                        <a:solidFill>
                          <a:schemeClr val="bg1">
                            <a:lumMod val="65000"/>
                          </a:schemeClr>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9E209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4" o:spid="_x0000_s1026" type="#_x0000_t66" alt="&quot;&quot;" style="position:absolute;margin-left:368.5pt;margin-top:878.15pt;width:24.3pt;height:21.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KjgIAAK4FAAAOAAAAZHJzL2Uyb0RvYy54bWysVN9v2yAQfp+0/wHxvtpJk/6I4lRRqk6T&#10;urZqO/WZYIgtYY4BiZP99TvAcdKum6ZpLxi4u+8+Pt/d9GrbKLIR1tWgCzo4ySkRmkNZ61VBvz3f&#10;fLqgxHmmS6ZAi4LuhKNXs48fpq2ZiCFUoEphCYJoN2lNQSvvzSTLHK9Ew9wJGKHRKME2zOPRrrLS&#10;shbRG5UN8/wsa8GWxgIXzuHtdTLSWcSXUnB/L6UTnqiCIjcfVxvXZViz2ZRNVpaZquYdDfYPLBpW&#10;a0zaQ10zz8ja1r9ANTW34ED6Ew5NBlLWXMQ34GsG+ZvXPFXMiPgWFMeZXib3/2D53ebJPFiUoTVu&#10;4nAbXrGVtglf5Ee2UaxdL5bYesLx8jS/GF2eU8LRNDw7H49Pg5jZIdhY5z8LaEjYFFQJ6efWQht1&#10;Yptb55P/3i8kdKDq8qZWKh5CEYiFsmTD8PctV4MYqtbNVyjT3dk4z+NPxLyxZoJ7ZPEKSem/AU90&#10;jgIRNERmB2nizu+UCHhKPwpJ6hLFGEZmPYNEjnEutE+kXcVKka4Hv+UcAQOyRAV67A7gtRh77MS5&#10;8w+hIhZ9H5z/iVgK7iNiZtC+D25qDfY9AIWv6jIn/71ISZqg0hLK3YMlFlLLOcNvaqyDW+b8A7PY&#10;Y9iNODf8PS5SQVtQ6HaUVGB/vHcf/LH00UpJiz1bUPd9zaygRH3R2BSXg9EoNHk8jMbnQzzYY8vy&#10;2KLXzQKwrgY4oQyP2+Dv1X4rLTQvOF7mISuamOaYu6Dc2/1h4dMswQHFxXwe3bCxDfO3+snwAB5U&#10;DSX+vH1h1nTN4LGL7mDf32zyph2Sb4jUMF97kHXslYOund44FGKxdwMsTJ3jc/Q6jNnZTwAAAP//&#10;AwBQSwMEFAAGAAgAAAAhAAe3oHLiAAAADQEAAA8AAABkcnMvZG93bnJldi54bWxMj81qwzAQhO+F&#10;voPYQm+N3Lj+iWs5lECgp0LTUshNsTa2ibQykuI4b1/l1B53Zpj9pl7PRrMJnR8sCXheJMCQWqsG&#10;6gR8f22fSmA+SFJSW0IBV/Swbu7valkpe6FPnHahY7GEfCUF9CGMFee+7dFIv7AjUvSO1hkZ4uk6&#10;rpy8xHKj+TJJcm7kQPFDL0fc9NiedmcjYDO9lx+zux7D/idrt8ky1SckIR4f5rdXYAHn8BeGG35E&#10;hyYyHeyZlGdaQJEWcUuIRpHlKbAYKcosB3a4SavyBXhT8/8rml8AAAD//wMAUEsBAi0AFAAGAAgA&#10;AAAhALaDOJL+AAAA4QEAABMAAAAAAAAAAAAAAAAAAAAAAFtDb250ZW50X1R5cGVzXS54bWxQSwEC&#10;LQAUAAYACAAAACEAOP0h/9YAAACUAQAACwAAAAAAAAAAAAAAAAAvAQAAX3JlbHMvLnJlbHNQSwEC&#10;LQAUAAYACAAAACEA/isPyo4CAACuBQAADgAAAAAAAAAAAAAAAAAuAgAAZHJzL2Uyb0RvYy54bWxQ&#10;SwECLQAUAAYACAAAACEAB7egcuIAAAANAQAADwAAAAAAAAAAAAAAAADoBAAAZHJzL2Rvd25yZXYu&#10;eG1sUEsFBgAAAAAEAAQA8wAAAPcFAAAAAA==&#10;" adj="9367" fillcolor="#a5a5a5 [2092]" strokecolor="white [3212]" strokeweight="1pt"/>
            </w:pict>
          </mc:Fallback>
        </mc:AlternateContent>
      </w:r>
      <w:r>
        <w:rPr>
          <w:noProof/>
        </w:rPr>
        <mc:AlternateContent>
          <mc:Choice Requires="wps">
            <w:drawing>
              <wp:anchor distT="0" distB="0" distL="114300" distR="114300" simplePos="0" relativeHeight="251667456" behindDoc="0" locked="0" layoutInCell="1" allowOverlap="1" wp14:anchorId="56B15DF2" wp14:editId="6DDA02FF">
                <wp:simplePos x="0" y="0"/>
                <wp:positionH relativeFrom="column">
                  <wp:posOffset>4728949</wp:posOffset>
                </wp:positionH>
                <wp:positionV relativeFrom="paragraph">
                  <wp:posOffset>6402857</wp:posOffset>
                </wp:positionV>
                <wp:extent cx="380962" cy="267553"/>
                <wp:effectExtent l="0" t="19050" r="38735" b="37465"/>
                <wp:wrapNone/>
                <wp:docPr id="555283467" name="Arrow: Right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80962" cy="267553"/>
                        </a:xfrm>
                        <a:prstGeom prst="rightArrow">
                          <a:avLst/>
                        </a:prstGeom>
                        <a:ln>
                          <a:solidFill>
                            <a:schemeClr val="bg1"/>
                          </a:solidFill>
                        </a:ln>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16F35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6" o:spid="_x0000_s1026" type="#_x0000_t13" alt="&quot;&quot;" style="position:absolute;margin-left:372.35pt;margin-top:504.15pt;width:30pt;height:21.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RcpYQIAADUFAAAOAAAAZHJzL2Uyb0RvYy54bWysVG1r2zAQ/j7YfxD6vjpJ30OdElo6BqUt&#10;a0c/K7IUi8k67aTEyX79TrKdhK6wMfZFvvO9P3pOV9ebxrK1wmDAlXx8NOJMOQmVccuSf3u5+3TB&#10;WYjCVcKCUyXfqsCvZx8/XLV+qiZQg60UMkriwrT1Ja9j9NOiCLJWjQhH4JUjowZsRCQVl0WFoqXs&#10;jS0mo9FZ0QJWHkGqEOjvbWfks5xfayXjo9ZBRWZLTr3FfGI+F+ksZldiukThayP7NsQ/dNEI46jo&#10;LtWtiIKt0PyWqjESIYCORxKaArQ2UuUZaJrx6M00z7XwKs9C4AS/gyn8v7TyYf3sn5BgaH2YBhLT&#10;FBuNTfpSf2yTwdruwFKbyCT9PL4YXZ5NOJNkmpydn54eJzCLfbDHED8raFgSSo5mWcc5IrQZKLG+&#10;D7ELGBxTRevSGcCa6s5Ym5XEBXVjka0F3eJiOe4LHXhR2RRZ7IfIUtxa1WX9qjQzFbU9ztUzv/Y5&#10;hZTKxSGvdeSdwjR1sAuc/Dmw90+hKnNvF/wXVXcRuTK4uAtujAN8r3r1fWhZd/4DAt3cCYIFVNsn&#10;ZAgd84OXd4au416E+CSQqE5LQesbH+nQFtqSQy9xVgP+fO9/8icGkpWzllan5OHHSqDizH5xxM3L&#10;8clJ2rWsnJyeT0jBQ8vi0OJWzQ3QvY7pofAyi8k/2kHUCM0rbfk8VSWTcJJql1xGHJSb2K00vRNS&#10;zefZjfbLi3jvnr0cbj0R7WXzKtD3nIxE5gcY1kxM35Cy80334WC+iqBNZuwe1x5v2s3M/P4dSct/&#10;qGev/Ws3+wUAAP//AwBQSwMEFAAGAAgAAAAhANkMaHTgAAAADQEAAA8AAABkcnMvZG93bnJldi54&#10;bWxMj81OwzAQhO9IvIO1SNyoDaQkCnEqBEIgcSmlQu3NTZYkIl5HsfPD27M5wXFnPs3OZJvZtmLE&#10;3jeONFyvFAikwpUNVRr2H89XCQgfDJWmdYQaftDDJj8/y0xauonecdyFSnAI+dRoqEPoUil9UaM1&#10;fuU6JPa+XG9N4LOvZNmbicNtK2+UupPWNMQfatPhY43F926wGl7VYTvtj+P09Bbil+QzDB2tUevL&#10;i/nhHkTAOfzBsNTn6pBzp5MbqPSi1RBHUcwoG0oltyAYSdQinRZprSKQeSb/r8h/AQAA//8DAFBL&#10;AQItABQABgAIAAAAIQC2gziS/gAAAOEBAAATAAAAAAAAAAAAAAAAAAAAAABbQ29udGVudF9UeXBl&#10;c10ueG1sUEsBAi0AFAAGAAgAAAAhADj9If/WAAAAlAEAAAsAAAAAAAAAAAAAAAAALwEAAF9yZWxz&#10;Ly5yZWxzUEsBAi0AFAAGAAgAAAAhAGUZFylhAgAANQUAAA4AAAAAAAAAAAAAAAAALgIAAGRycy9l&#10;Mm9Eb2MueG1sUEsBAi0AFAAGAAgAAAAhANkMaHTgAAAADQEAAA8AAAAAAAAAAAAAAAAAuwQAAGRy&#10;cy9kb3ducmV2LnhtbFBLBQYAAAAABAAEAPMAAADIBQAAAAA=&#10;" adj="14015" fillcolor="#30a7dd [2164]" strokecolor="white [3212]" strokeweight=".5pt">
                <v:fill color2="#1e8bbd [2612]" rotate="t" colors="0 #9cafbf;.5 #8fa3b4;1 #7a95ab" focus="100%" type="gradient">
                  <o:fill v:ext="view" type="gradientUnscaled"/>
                </v:fill>
              </v:shape>
            </w:pict>
          </mc:Fallback>
        </mc:AlternateContent>
      </w:r>
      <w:r w:rsidR="003634A7" w:rsidRPr="003634A7">
        <w:rPr>
          <w:rFonts w:ascii="Arial" w:eastAsia="Times New Roman" w:hAnsi="Arial" w:cs="Arial"/>
          <w:b/>
          <w:bCs/>
          <w:i/>
          <w:iCs/>
          <w:color w:val="000000" w:themeColor="text1"/>
          <w:kern w:val="0"/>
          <w:u w:val="single"/>
          <w:lang w:eastAsia="en-GB"/>
          <w14:ligatures w14:val="none"/>
        </w:rPr>
        <w:br w:type="page"/>
      </w:r>
      <w:r w:rsidR="006D365A">
        <w:rPr>
          <w:noProof/>
        </w:rPr>
        <mc:AlternateContent>
          <mc:Choice Requires="wps">
            <w:drawing>
              <wp:anchor distT="0" distB="0" distL="114300" distR="114300" simplePos="0" relativeHeight="251666432" behindDoc="0" locked="0" layoutInCell="1" allowOverlap="1" wp14:anchorId="49826BD2" wp14:editId="5FB1F4F5">
                <wp:simplePos x="0" y="0"/>
                <wp:positionH relativeFrom="column">
                  <wp:posOffset>4844143</wp:posOffset>
                </wp:positionH>
                <wp:positionV relativeFrom="paragraph">
                  <wp:posOffset>4500517</wp:posOffset>
                </wp:positionV>
                <wp:extent cx="304800" cy="228600"/>
                <wp:effectExtent l="57150" t="57150" r="0" b="57150"/>
                <wp:wrapNone/>
                <wp:docPr id="1848394770" name="Arrow: Notched Right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04800" cy="228600"/>
                        </a:xfrm>
                        <a:prstGeom prst="notchedRightArrow">
                          <a:avLst/>
                        </a:prstGeom>
                        <a:ln w="38100">
                          <a:solidFill>
                            <a:srgbClr val="7030A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C814A62"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Arrow: Notched Right 5" o:spid="_x0000_s1026" type="#_x0000_t94" alt="&quot;&quot;" style="position:absolute;margin-left:381.45pt;margin-top:354.35pt;width:24pt;height:18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FqtdwIAAEMFAAAOAAAAZHJzL2Uyb0RvYy54bWysVE1v2zAMvQ/YfxB0X22nWZsFdYqgRYcB&#10;RRu0HXpWZCkxJosapcTJfv0o2XGCrthh2EUmzY/HR5G6ut41hm0V+hpsyYuznDNlJVS1XZX8+8vd&#10;pwlnPghbCQNWlXyvPL+effxw1bqpGsEaTKWQURLrp60r+ToEN80yL9eqEf4MnLJk1ICNCKTiKqtQ&#10;tJS9Mdkozy+yFrByCFJ5T39vOyOfpfxaKxketfYqMFNyqi2kE9O5jGc2uxLTFQq3rmVfhviHKhpR&#10;WwIdUt2KINgG6z9SNbVE8KDDmYQmA61rqRIHYlPkb9g8r4VTiQs1x7uhTf7/pZUP22e3QGpD6/zU&#10;kxhZ7DQ28Uv1sV1q1n5oltoFJunneT6e5NRSSabRaHJBMmXJjsEOffiqoGFRKLmFQJdaPdWrdZgj&#10;Qpv6Jbb3PnRxB/8IbCxrCWJSUNaoezB1dVcbkxRcLW8Msq2gS73Mz/P5AfrEjQoxluo50kpS2BvV&#10;ATwpzeqKiIw6hDhxakgrpFQ2XPSUjCXvGKaphCGweC/QhKIP6n1jmEqTOAT2nP6GOEQkVLBhCG5q&#10;C/gecvVjQO78D+w7zpH+Eqr9AhlCtwfeybuaLude+LAQSINP90nLHB7p0AboCqCXOFsD/nrvf/Sn&#10;eSQrZy0tUsn9z41AxZn5ZmlSvxTjcdy8pIw/X45IwVPL8tRiN80N0LUW9Gw4mcToH8xB1AjNK+38&#10;PKKSSVhJ2CWXAQ/KTegWnF4Nqebz5Ebb5kS4t89OxuSxq3HeXnavAl0/oYFG+wEOSyemb2az842R&#10;FuabALpOg3vsa99v2tS0B/2rEp+CUz15Hd++2W8AAAD//wMAUEsDBBQABgAIAAAAIQCpXWIA4QAA&#10;AAsBAAAPAAAAZHJzL2Rvd25yZXYueG1sTI9BS8QwEIXvgv8hjODNTbaUtnabLiKI4EFwd0W8ZZvZ&#10;NmyTlCbt1n/veHJvM+893nxTbRfbsxnHYLyTsF4JYOgar41rJRz2Lw8FsBCV06r3DiX8YIBtfXtT&#10;qVL7i/vAeRdbRiUulEpCF+NQch6aDq0KKz+gI+/kR6sirWPL9aguVG57ngiRcauMowudGvC5w+a8&#10;m6yEr/Oredef8z6bEjM1mB7e5m8h5f3d8rQBFnGJ/2H4wyd0qInp6CenA+sl5FnySFEaRJEDo0Sx&#10;FqQcSUnTHHhd8esf6l8AAAD//wMAUEsBAi0AFAAGAAgAAAAhALaDOJL+AAAA4QEAABMAAAAAAAAA&#10;AAAAAAAAAAAAAFtDb250ZW50X1R5cGVzXS54bWxQSwECLQAUAAYACAAAACEAOP0h/9YAAACUAQAA&#10;CwAAAAAAAAAAAAAAAAAvAQAAX3JlbHMvLnJlbHNQSwECLQAUAAYACAAAACEA6axarXcCAABDBQAA&#10;DgAAAAAAAAAAAAAAAAAuAgAAZHJzL2Uyb0RvYy54bWxQSwECLQAUAAYACAAAACEAqV1iAOEAAAAL&#10;AQAADwAAAAAAAAAAAAAAAADRBAAAZHJzL2Rvd25yZXYueG1sUEsFBgAAAAAEAAQA8wAAAN8FAAAA&#10;AA==&#10;" adj="13500" fillcolor="white [3201]" strokecolor="#7030a0" strokeweight="3pt"/>
            </w:pict>
          </mc:Fallback>
        </mc:AlternateContent>
      </w:r>
      <w:r w:rsidR="00825FA9">
        <w:rPr>
          <w:noProof/>
        </w:rPr>
        <w:drawing>
          <wp:anchor distT="0" distB="0" distL="114300" distR="114300" simplePos="0" relativeHeight="251660288" behindDoc="0" locked="0" layoutInCell="1" allowOverlap="0" wp14:anchorId="0AF737A5" wp14:editId="490F52D0">
            <wp:simplePos x="0" y="0"/>
            <wp:positionH relativeFrom="margin">
              <wp:align>left</wp:align>
            </wp:positionH>
            <wp:positionV relativeFrom="paragraph">
              <wp:posOffset>594995</wp:posOffset>
            </wp:positionV>
            <wp:extent cx="9736455" cy="11463655"/>
            <wp:effectExtent l="38100" t="0" r="17145" b="0"/>
            <wp:wrapTopAndBottom/>
            <wp:docPr id="446296000" name="Diagram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p>
    <w:p w14:paraId="30BE9552" w14:textId="77777777" w:rsidR="006273C3" w:rsidRDefault="006273C3" w:rsidP="004504D8">
      <w:pPr>
        <w:spacing w:line="276" w:lineRule="auto"/>
        <w:rPr>
          <w:rFonts w:ascii="Arial" w:hAnsi="Arial" w:cs="Arial"/>
          <w:b/>
          <w:bCs/>
          <w:sz w:val="28"/>
          <w:szCs w:val="28"/>
        </w:rPr>
        <w:sectPr w:rsidR="006273C3" w:rsidSect="00555071">
          <w:headerReference w:type="even" r:id="rId14"/>
          <w:headerReference w:type="default" r:id="rId15"/>
          <w:footerReference w:type="even" r:id="rId16"/>
          <w:footerReference w:type="default" r:id="rId17"/>
          <w:headerReference w:type="first" r:id="rId18"/>
          <w:footerReference w:type="first" r:id="rId19"/>
          <w:pgSz w:w="16838" w:h="23811" w:code="8"/>
          <w:pgMar w:top="720" w:right="720" w:bottom="720" w:left="720" w:header="708" w:footer="708" w:gutter="0"/>
          <w:cols w:space="708"/>
          <w:docGrid w:linePitch="360"/>
        </w:sectPr>
      </w:pPr>
    </w:p>
    <w:p w14:paraId="0B8953F5" w14:textId="0E2579D7" w:rsidR="00FE0B5D" w:rsidRPr="004504D8" w:rsidRDefault="00FE0B5D" w:rsidP="004504D8">
      <w:pPr>
        <w:spacing w:line="276" w:lineRule="auto"/>
        <w:rPr>
          <w:rFonts w:ascii="Arial" w:hAnsi="Arial" w:cs="Arial"/>
          <w:b/>
          <w:bCs/>
          <w:sz w:val="28"/>
          <w:szCs w:val="28"/>
        </w:rPr>
      </w:pPr>
      <w:r w:rsidRPr="004504D8">
        <w:rPr>
          <w:rFonts w:ascii="Arial" w:hAnsi="Arial" w:cs="Arial"/>
          <w:b/>
          <w:bCs/>
          <w:sz w:val="28"/>
          <w:szCs w:val="28"/>
        </w:rPr>
        <w:lastRenderedPageBreak/>
        <w:t>Description:</w:t>
      </w:r>
    </w:p>
    <w:p w14:paraId="7CE895F4" w14:textId="1E417F7B" w:rsidR="004504D8" w:rsidRPr="004504D8" w:rsidRDefault="003004B7" w:rsidP="004504D8">
      <w:pPr>
        <w:tabs>
          <w:tab w:val="left" w:pos="1423"/>
        </w:tabs>
        <w:spacing w:line="276" w:lineRule="auto"/>
        <w:rPr>
          <w:rFonts w:ascii="Arial" w:hAnsi="Arial" w:cs="Arial"/>
          <w:sz w:val="28"/>
          <w:szCs w:val="28"/>
        </w:rPr>
      </w:pPr>
      <w:r w:rsidRPr="004504D8">
        <w:rPr>
          <w:rFonts w:ascii="Arial" w:hAnsi="Arial" w:cs="Arial"/>
          <w:sz w:val="28"/>
          <w:szCs w:val="28"/>
        </w:rPr>
        <w:t xml:space="preserve">When following Direct Award Process 1, Direct Award Process 2, the Most Suitable Provider </w:t>
      </w:r>
      <w:r w:rsidR="00A06570" w:rsidRPr="004504D8">
        <w:rPr>
          <w:rFonts w:ascii="Arial" w:hAnsi="Arial" w:cs="Arial"/>
          <w:sz w:val="28"/>
          <w:szCs w:val="28"/>
        </w:rPr>
        <w:t>Process, the</w:t>
      </w:r>
      <w:r w:rsidRPr="004504D8">
        <w:rPr>
          <w:rFonts w:ascii="Arial" w:hAnsi="Arial" w:cs="Arial"/>
          <w:sz w:val="28"/>
          <w:szCs w:val="28"/>
        </w:rPr>
        <w:t xml:space="preserve"> Competitive Process and when calling off a framework with or without a competition, the standstill period begins on the day the notice of the intention to award a contract is published.</w:t>
      </w:r>
    </w:p>
    <w:p w14:paraId="6C0DCDFB" w14:textId="650F0457" w:rsidR="003004B7" w:rsidRPr="003004B7"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t>If no representations are received before midnight at the end of the 8th working day after the day the standstill period begins, the standstill period can come to an end, and the relevant authority may award the contract</w:t>
      </w:r>
      <w:r w:rsidR="00A06570" w:rsidRPr="004504D8">
        <w:rPr>
          <w:rFonts w:ascii="Arial" w:hAnsi="Arial" w:cs="Arial"/>
          <w:sz w:val="28"/>
          <w:szCs w:val="28"/>
        </w:rPr>
        <w:t xml:space="preserve">, </w:t>
      </w:r>
      <w:r w:rsidR="00A06570" w:rsidRPr="00A06570">
        <w:rPr>
          <w:rFonts w:ascii="Arial" w:hAnsi="Arial" w:cs="Arial"/>
          <w:sz w:val="28"/>
          <w:szCs w:val="28"/>
        </w:rPr>
        <w:t>or conclude a framework agreement</w:t>
      </w:r>
      <w:r w:rsidR="00A06570" w:rsidRPr="004504D8">
        <w:rPr>
          <w:rFonts w:ascii="Arial" w:hAnsi="Arial" w:cs="Arial"/>
          <w:sz w:val="28"/>
          <w:szCs w:val="28"/>
        </w:rPr>
        <w:t>,</w:t>
      </w:r>
      <w:r w:rsidRPr="003004B7">
        <w:rPr>
          <w:rFonts w:ascii="Arial" w:hAnsi="Arial" w:cs="Arial"/>
          <w:sz w:val="28"/>
          <w:szCs w:val="28"/>
        </w:rPr>
        <w:t xml:space="preserve"> to the selected provider(s). </w:t>
      </w:r>
    </w:p>
    <w:p w14:paraId="68A40107" w14:textId="77777777" w:rsidR="003004B7" w:rsidRPr="004504D8"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t>If representations are received before midnight at the end of the 8th working day after the day the standstill period begins, then the standstill period will remain open. </w:t>
      </w:r>
    </w:p>
    <w:p w14:paraId="05745106" w14:textId="77777777" w:rsidR="002323FA" w:rsidRPr="002323FA" w:rsidRDefault="002323FA" w:rsidP="004504D8">
      <w:pPr>
        <w:tabs>
          <w:tab w:val="left" w:pos="1423"/>
        </w:tabs>
        <w:spacing w:line="276" w:lineRule="auto"/>
        <w:rPr>
          <w:rFonts w:ascii="Arial" w:hAnsi="Arial" w:cs="Arial"/>
          <w:sz w:val="28"/>
          <w:szCs w:val="28"/>
        </w:rPr>
      </w:pPr>
      <w:r w:rsidRPr="002323FA">
        <w:rPr>
          <w:rFonts w:ascii="Arial" w:hAnsi="Arial" w:cs="Arial"/>
          <w:sz w:val="28"/>
          <w:szCs w:val="28"/>
        </w:rPr>
        <w:t xml:space="preserve">The relevant authority </w:t>
      </w:r>
      <w:r w:rsidRPr="002323FA">
        <w:rPr>
          <w:rFonts w:ascii="Arial" w:hAnsi="Arial" w:cs="Arial"/>
          <w:b/>
          <w:bCs/>
          <w:sz w:val="28"/>
          <w:szCs w:val="28"/>
        </w:rPr>
        <w:t>must</w:t>
      </w:r>
      <w:r w:rsidRPr="002323FA">
        <w:rPr>
          <w:rFonts w:ascii="Arial" w:hAnsi="Arial" w:cs="Arial"/>
          <w:sz w:val="28"/>
          <w:szCs w:val="28"/>
        </w:rPr>
        <w:t>:</w:t>
      </w:r>
    </w:p>
    <w:p w14:paraId="5A550C93" w14:textId="35871CC1" w:rsidR="002323FA" w:rsidRPr="002323FA" w:rsidRDefault="002323FA" w:rsidP="004504D8">
      <w:pPr>
        <w:numPr>
          <w:ilvl w:val="0"/>
          <w:numId w:val="1"/>
        </w:numPr>
        <w:tabs>
          <w:tab w:val="left" w:pos="1423"/>
        </w:tabs>
        <w:spacing w:line="276" w:lineRule="auto"/>
        <w:rPr>
          <w:rFonts w:ascii="Arial" w:hAnsi="Arial" w:cs="Arial"/>
          <w:sz w:val="28"/>
          <w:szCs w:val="28"/>
        </w:rPr>
      </w:pPr>
      <w:r w:rsidRPr="002323FA">
        <w:rPr>
          <w:rFonts w:ascii="Arial" w:hAnsi="Arial" w:cs="Arial"/>
          <w:sz w:val="28"/>
          <w:szCs w:val="28"/>
        </w:rPr>
        <w:t>ensure that the</w:t>
      </w:r>
      <w:r w:rsidR="00103EBB" w:rsidRPr="004504D8">
        <w:rPr>
          <w:rFonts w:ascii="Arial" w:hAnsi="Arial" w:cs="Arial"/>
          <w:sz w:val="28"/>
          <w:szCs w:val="28"/>
        </w:rPr>
        <w:t xml:space="preserve"> aggrieved</w:t>
      </w:r>
      <w:r w:rsidRPr="002323FA">
        <w:rPr>
          <w:rFonts w:ascii="Arial" w:hAnsi="Arial" w:cs="Arial"/>
          <w:sz w:val="28"/>
          <w:szCs w:val="28"/>
        </w:rPr>
        <w:t xml:space="preserve"> provider has been afforded the opportunity to explain or clarify their representation;</w:t>
      </w:r>
    </w:p>
    <w:p w14:paraId="0BD0427D" w14:textId="046AF402" w:rsidR="002323FA" w:rsidRPr="002323FA" w:rsidRDefault="002323FA" w:rsidP="004504D8">
      <w:pPr>
        <w:numPr>
          <w:ilvl w:val="0"/>
          <w:numId w:val="1"/>
        </w:numPr>
        <w:tabs>
          <w:tab w:val="left" w:pos="1423"/>
        </w:tabs>
        <w:spacing w:line="276" w:lineRule="auto"/>
        <w:rPr>
          <w:rFonts w:ascii="Arial" w:hAnsi="Arial" w:cs="Arial"/>
          <w:sz w:val="28"/>
          <w:szCs w:val="28"/>
        </w:rPr>
      </w:pPr>
      <w:r w:rsidRPr="002323FA">
        <w:rPr>
          <w:rFonts w:ascii="Arial" w:hAnsi="Arial" w:cs="Arial"/>
          <w:sz w:val="28"/>
          <w:szCs w:val="28"/>
        </w:rPr>
        <w:t xml:space="preserve">provide any information requested by the </w:t>
      </w:r>
      <w:r w:rsidR="00103EBB" w:rsidRPr="004504D8">
        <w:rPr>
          <w:rFonts w:ascii="Arial" w:hAnsi="Arial" w:cs="Arial"/>
          <w:sz w:val="28"/>
          <w:szCs w:val="28"/>
        </w:rPr>
        <w:t xml:space="preserve">aggrieved </w:t>
      </w:r>
      <w:r w:rsidRPr="002323FA">
        <w:rPr>
          <w:rFonts w:ascii="Arial" w:hAnsi="Arial" w:cs="Arial"/>
          <w:sz w:val="28"/>
          <w:szCs w:val="28"/>
        </w:rPr>
        <w:t xml:space="preserve">provider that the relevant authority is required to keep under Regulation </w:t>
      </w:r>
      <w:r w:rsidRPr="004504D8">
        <w:rPr>
          <w:rFonts w:ascii="Arial" w:hAnsi="Arial" w:cs="Arial"/>
          <w:sz w:val="28"/>
          <w:szCs w:val="28"/>
        </w:rPr>
        <w:t>30</w:t>
      </w:r>
      <w:r w:rsidRPr="002323FA">
        <w:rPr>
          <w:rFonts w:ascii="Arial" w:hAnsi="Arial" w:cs="Arial"/>
          <w:sz w:val="28"/>
          <w:szCs w:val="28"/>
        </w:rPr>
        <w:t>;</w:t>
      </w:r>
    </w:p>
    <w:p w14:paraId="4F937C24" w14:textId="77777777" w:rsidR="002323FA" w:rsidRPr="002323FA" w:rsidRDefault="002323FA" w:rsidP="004504D8">
      <w:pPr>
        <w:numPr>
          <w:ilvl w:val="0"/>
          <w:numId w:val="1"/>
        </w:numPr>
        <w:tabs>
          <w:tab w:val="left" w:pos="1423"/>
        </w:tabs>
        <w:spacing w:line="276" w:lineRule="auto"/>
        <w:rPr>
          <w:rFonts w:ascii="Arial" w:hAnsi="Arial" w:cs="Arial"/>
          <w:sz w:val="28"/>
          <w:szCs w:val="28"/>
        </w:rPr>
      </w:pPr>
      <w:r w:rsidRPr="002323FA">
        <w:rPr>
          <w:rFonts w:ascii="Arial" w:hAnsi="Arial" w:cs="Arial"/>
          <w:sz w:val="28"/>
          <w:szCs w:val="28"/>
        </w:rPr>
        <w:t>consider the representation and review their original decision; and</w:t>
      </w:r>
    </w:p>
    <w:p w14:paraId="07016320" w14:textId="07381B4E" w:rsidR="00103EBB" w:rsidRPr="004504D8" w:rsidRDefault="002323FA" w:rsidP="004504D8">
      <w:pPr>
        <w:numPr>
          <w:ilvl w:val="0"/>
          <w:numId w:val="1"/>
        </w:numPr>
        <w:tabs>
          <w:tab w:val="left" w:pos="1423"/>
        </w:tabs>
        <w:spacing w:line="276" w:lineRule="auto"/>
        <w:rPr>
          <w:rFonts w:ascii="Arial" w:hAnsi="Arial" w:cs="Arial"/>
          <w:sz w:val="28"/>
          <w:szCs w:val="28"/>
        </w:rPr>
      </w:pPr>
      <w:r w:rsidRPr="002323FA">
        <w:rPr>
          <w:rFonts w:ascii="Arial" w:hAnsi="Arial" w:cs="Arial"/>
          <w:sz w:val="28"/>
          <w:szCs w:val="28"/>
        </w:rPr>
        <w:t>review the decision to award the contract or conclude the framework agreement, taking into account the representations made, and</w:t>
      </w:r>
      <w:r w:rsidR="00103EBB" w:rsidRPr="004504D8">
        <w:rPr>
          <w:rFonts w:ascii="Arial" w:hAnsi="Arial" w:cs="Arial"/>
          <w:sz w:val="28"/>
          <w:szCs w:val="28"/>
        </w:rPr>
        <w:t xml:space="preserve"> </w:t>
      </w:r>
      <w:r w:rsidRPr="002323FA">
        <w:rPr>
          <w:rFonts w:ascii="Arial" w:hAnsi="Arial" w:cs="Arial"/>
          <w:sz w:val="28"/>
          <w:szCs w:val="28"/>
        </w:rPr>
        <w:t>make a further decision</w:t>
      </w:r>
      <w:r w:rsidR="00103EBB" w:rsidRPr="004504D8">
        <w:rPr>
          <w:rFonts w:ascii="Arial" w:hAnsi="Arial" w:cs="Arial"/>
          <w:sz w:val="28"/>
          <w:szCs w:val="28"/>
        </w:rPr>
        <w:t>, which could include the following steps:</w:t>
      </w:r>
      <w:r w:rsidR="003004B7" w:rsidRPr="003004B7">
        <w:rPr>
          <w:rFonts w:ascii="Arial" w:hAnsi="Arial" w:cs="Arial"/>
          <w:sz w:val="28"/>
          <w:szCs w:val="28"/>
        </w:rPr>
        <w:t xml:space="preserve"> </w:t>
      </w:r>
    </w:p>
    <w:p w14:paraId="37AB0319" w14:textId="77777777" w:rsidR="00103EBB" w:rsidRPr="004504D8" w:rsidRDefault="003004B7" w:rsidP="004504D8">
      <w:pPr>
        <w:numPr>
          <w:ilvl w:val="1"/>
          <w:numId w:val="1"/>
        </w:numPr>
        <w:tabs>
          <w:tab w:val="left" w:pos="1423"/>
        </w:tabs>
        <w:spacing w:line="276" w:lineRule="auto"/>
        <w:rPr>
          <w:rFonts w:ascii="Arial" w:hAnsi="Arial" w:cs="Arial"/>
          <w:sz w:val="28"/>
          <w:szCs w:val="28"/>
        </w:rPr>
      </w:pPr>
      <w:r w:rsidRPr="004504D8">
        <w:rPr>
          <w:rFonts w:ascii="Arial" w:hAnsi="Arial" w:cs="Arial"/>
          <w:sz w:val="28"/>
          <w:szCs w:val="28"/>
        </w:rPr>
        <w:t>abandon</w:t>
      </w:r>
      <w:r w:rsidR="00103EBB" w:rsidRPr="004504D8">
        <w:rPr>
          <w:rFonts w:ascii="Arial" w:hAnsi="Arial" w:cs="Arial"/>
          <w:sz w:val="28"/>
          <w:szCs w:val="28"/>
        </w:rPr>
        <w:t>ing</w:t>
      </w:r>
      <w:r w:rsidRPr="004504D8">
        <w:rPr>
          <w:rFonts w:ascii="Arial" w:hAnsi="Arial" w:cs="Arial"/>
          <w:sz w:val="28"/>
          <w:szCs w:val="28"/>
        </w:rPr>
        <w:t xml:space="preserve"> the procurement process, </w:t>
      </w:r>
    </w:p>
    <w:p w14:paraId="6D659AE7" w14:textId="77777777" w:rsidR="00103EBB" w:rsidRPr="004504D8" w:rsidRDefault="003004B7" w:rsidP="004504D8">
      <w:pPr>
        <w:numPr>
          <w:ilvl w:val="1"/>
          <w:numId w:val="1"/>
        </w:numPr>
        <w:tabs>
          <w:tab w:val="left" w:pos="1423"/>
        </w:tabs>
        <w:spacing w:line="276" w:lineRule="auto"/>
        <w:rPr>
          <w:rFonts w:ascii="Arial" w:hAnsi="Arial" w:cs="Arial"/>
          <w:sz w:val="28"/>
          <w:szCs w:val="28"/>
        </w:rPr>
      </w:pPr>
      <w:r w:rsidRPr="004504D8">
        <w:rPr>
          <w:rFonts w:ascii="Arial" w:hAnsi="Arial" w:cs="Arial"/>
          <w:sz w:val="28"/>
          <w:szCs w:val="28"/>
        </w:rPr>
        <w:t>return</w:t>
      </w:r>
      <w:r w:rsidR="00103EBB" w:rsidRPr="004504D8">
        <w:rPr>
          <w:rFonts w:ascii="Arial" w:hAnsi="Arial" w:cs="Arial"/>
          <w:sz w:val="28"/>
          <w:szCs w:val="28"/>
        </w:rPr>
        <w:t>ing</w:t>
      </w:r>
      <w:r w:rsidRPr="004504D8">
        <w:rPr>
          <w:rFonts w:ascii="Arial" w:hAnsi="Arial" w:cs="Arial"/>
          <w:sz w:val="28"/>
          <w:szCs w:val="28"/>
        </w:rPr>
        <w:t xml:space="preserve"> to an earlier step in the procurement process, or </w:t>
      </w:r>
    </w:p>
    <w:p w14:paraId="25478AC5" w14:textId="433E27CF" w:rsidR="003004B7" w:rsidRPr="004504D8" w:rsidRDefault="003004B7" w:rsidP="004504D8">
      <w:pPr>
        <w:numPr>
          <w:ilvl w:val="1"/>
          <w:numId w:val="1"/>
        </w:numPr>
        <w:tabs>
          <w:tab w:val="left" w:pos="1423"/>
        </w:tabs>
        <w:spacing w:line="276" w:lineRule="auto"/>
        <w:rPr>
          <w:rFonts w:ascii="Arial" w:hAnsi="Arial" w:cs="Arial"/>
          <w:sz w:val="28"/>
          <w:szCs w:val="28"/>
        </w:rPr>
      </w:pPr>
      <w:r w:rsidRPr="004504D8">
        <w:rPr>
          <w:rFonts w:ascii="Arial" w:hAnsi="Arial" w:cs="Arial"/>
          <w:sz w:val="28"/>
          <w:szCs w:val="28"/>
        </w:rPr>
        <w:t>continu</w:t>
      </w:r>
      <w:r w:rsidR="00103EBB" w:rsidRPr="004504D8">
        <w:rPr>
          <w:rFonts w:ascii="Arial" w:hAnsi="Arial" w:cs="Arial"/>
          <w:sz w:val="28"/>
          <w:szCs w:val="28"/>
        </w:rPr>
        <w:t>ing</w:t>
      </w:r>
      <w:r w:rsidRPr="004504D8">
        <w:rPr>
          <w:rFonts w:ascii="Arial" w:hAnsi="Arial" w:cs="Arial"/>
          <w:sz w:val="28"/>
          <w:szCs w:val="28"/>
        </w:rPr>
        <w:t xml:space="preserve"> with the contract award. </w:t>
      </w:r>
    </w:p>
    <w:p w14:paraId="44A35E44" w14:textId="70AD77D4" w:rsidR="003004B7" w:rsidRPr="003004B7" w:rsidRDefault="00103EBB" w:rsidP="004504D8">
      <w:pPr>
        <w:tabs>
          <w:tab w:val="left" w:pos="1423"/>
        </w:tabs>
        <w:spacing w:line="276" w:lineRule="auto"/>
        <w:rPr>
          <w:rFonts w:ascii="Arial" w:hAnsi="Arial" w:cs="Arial"/>
          <w:sz w:val="28"/>
          <w:szCs w:val="28"/>
        </w:rPr>
      </w:pPr>
      <w:r w:rsidRPr="004504D8">
        <w:rPr>
          <w:rFonts w:ascii="Arial" w:hAnsi="Arial" w:cs="Arial"/>
          <w:sz w:val="28"/>
          <w:szCs w:val="28"/>
        </w:rPr>
        <w:t xml:space="preserve">The relevant authority must </w:t>
      </w:r>
      <w:r w:rsidRPr="003004B7">
        <w:rPr>
          <w:rFonts w:ascii="Arial" w:hAnsi="Arial" w:cs="Arial"/>
          <w:sz w:val="28"/>
          <w:szCs w:val="28"/>
        </w:rPr>
        <w:t xml:space="preserve">inform the </w:t>
      </w:r>
      <w:r w:rsidRPr="004504D8">
        <w:rPr>
          <w:rFonts w:ascii="Arial" w:hAnsi="Arial" w:cs="Arial"/>
          <w:sz w:val="28"/>
          <w:szCs w:val="28"/>
        </w:rPr>
        <w:t xml:space="preserve">aggrieved </w:t>
      </w:r>
      <w:r w:rsidRPr="003004B7">
        <w:rPr>
          <w:rFonts w:ascii="Arial" w:hAnsi="Arial" w:cs="Arial"/>
          <w:sz w:val="28"/>
          <w:szCs w:val="28"/>
        </w:rPr>
        <w:t xml:space="preserve">provider of </w:t>
      </w:r>
      <w:r w:rsidRPr="004504D8">
        <w:rPr>
          <w:rFonts w:ascii="Arial" w:hAnsi="Arial" w:cs="Arial"/>
          <w:sz w:val="28"/>
          <w:szCs w:val="28"/>
        </w:rPr>
        <w:t>its</w:t>
      </w:r>
      <w:r w:rsidRPr="003004B7">
        <w:rPr>
          <w:rFonts w:ascii="Arial" w:hAnsi="Arial" w:cs="Arial"/>
          <w:sz w:val="28"/>
          <w:szCs w:val="28"/>
        </w:rPr>
        <w:t xml:space="preserve"> further decision</w:t>
      </w:r>
      <w:r w:rsidRPr="004504D8">
        <w:rPr>
          <w:rFonts w:ascii="Arial" w:hAnsi="Arial" w:cs="Arial"/>
          <w:sz w:val="28"/>
          <w:szCs w:val="28"/>
        </w:rPr>
        <w:t xml:space="preserve"> and</w:t>
      </w:r>
      <w:r w:rsidR="003004B7" w:rsidRPr="003004B7">
        <w:rPr>
          <w:rFonts w:ascii="Arial" w:hAnsi="Arial" w:cs="Arial"/>
          <w:sz w:val="28"/>
          <w:szCs w:val="28"/>
        </w:rPr>
        <w:t xml:space="preserve"> wait five working days from the point that they informed the </w:t>
      </w:r>
      <w:r w:rsidRPr="004504D8">
        <w:rPr>
          <w:rFonts w:ascii="Arial" w:hAnsi="Arial" w:cs="Arial"/>
          <w:sz w:val="28"/>
          <w:szCs w:val="28"/>
        </w:rPr>
        <w:t xml:space="preserve">aggrieved </w:t>
      </w:r>
      <w:r w:rsidR="003004B7" w:rsidRPr="003004B7">
        <w:rPr>
          <w:rFonts w:ascii="Arial" w:hAnsi="Arial" w:cs="Arial"/>
          <w:sz w:val="28"/>
          <w:szCs w:val="28"/>
        </w:rPr>
        <w:t xml:space="preserve">provider of their further decision before they can close the standstill period. During this period, the </w:t>
      </w:r>
      <w:r w:rsidRPr="004504D8">
        <w:rPr>
          <w:rFonts w:ascii="Arial" w:hAnsi="Arial" w:cs="Arial"/>
          <w:sz w:val="28"/>
          <w:szCs w:val="28"/>
        </w:rPr>
        <w:t xml:space="preserve">aggrieved </w:t>
      </w:r>
      <w:r w:rsidR="003004B7" w:rsidRPr="003004B7">
        <w:rPr>
          <w:rFonts w:ascii="Arial" w:hAnsi="Arial" w:cs="Arial"/>
          <w:sz w:val="28"/>
          <w:szCs w:val="28"/>
        </w:rPr>
        <w:t>provider may consider the</w:t>
      </w:r>
      <w:r w:rsidRPr="004504D8">
        <w:rPr>
          <w:rFonts w:ascii="Arial" w:hAnsi="Arial" w:cs="Arial"/>
          <w:sz w:val="28"/>
          <w:szCs w:val="28"/>
        </w:rPr>
        <w:t xml:space="preserve"> further</w:t>
      </w:r>
      <w:r w:rsidR="003004B7" w:rsidRPr="003004B7">
        <w:rPr>
          <w:rFonts w:ascii="Arial" w:hAnsi="Arial" w:cs="Arial"/>
          <w:sz w:val="28"/>
          <w:szCs w:val="28"/>
        </w:rPr>
        <w:t xml:space="preserve"> decision of the relevant authority.</w:t>
      </w:r>
    </w:p>
    <w:p w14:paraId="3D8F7938" w14:textId="0BF9E2F7" w:rsidR="003004B7" w:rsidRPr="003004B7"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t xml:space="preserve">If the </w:t>
      </w:r>
      <w:r w:rsidR="00103EBB" w:rsidRPr="004504D8">
        <w:rPr>
          <w:rFonts w:ascii="Arial" w:hAnsi="Arial" w:cs="Arial"/>
          <w:sz w:val="28"/>
          <w:szCs w:val="28"/>
        </w:rPr>
        <w:t xml:space="preserve">aggrieved </w:t>
      </w:r>
      <w:r w:rsidRPr="003004B7">
        <w:rPr>
          <w:rFonts w:ascii="Arial" w:hAnsi="Arial" w:cs="Arial"/>
          <w:sz w:val="28"/>
          <w:szCs w:val="28"/>
        </w:rPr>
        <w:t xml:space="preserve">provider does nothing further, the relevant authority may end the standstill period and take the </w:t>
      </w:r>
      <w:r w:rsidR="00103EBB" w:rsidRPr="004504D8">
        <w:rPr>
          <w:rFonts w:ascii="Arial" w:hAnsi="Arial" w:cs="Arial"/>
          <w:sz w:val="28"/>
          <w:szCs w:val="28"/>
        </w:rPr>
        <w:t>next</w:t>
      </w:r>
      <w:r w:rsidRPr="003004B7">
        <w:rPr>
          <w:rFonts w:ascii="Arial" w:hAnsi="Arial" w:cs="Arial"/>
          <w:sz w:val="28"/>
          <w:szCs w:val="28"/>
        </w:rPr>
        <w:t xml:space="preserve"> steps as intended. </w:t>
      </w:r>
    </w:p>
    <w:p w14:paraId="442A2279" w14:textId="29506A68" w:rsidR="003004B7" w:rsidRPr="003004B7" w:rsidRDefault="00FE0B5D" w:rsidP="004504D8">
      <w:pPr>
        <w:tabs>
          <w:tab w:val="left" w:pos="1423"/>
        </w:tabs>
        <w:spacing w:line="276" w:lineRule="auto"/>
        <w:rPr>
          <w:rFonts w:ascii="Arial" w:hAnsi="Arial" w:cs="Arial"/>
          <w:sz w:val="28"/>
          <w:szCs w:val="28"/>
        </w:rPr>
      </w:pPr>
      <w:r w:rsidRPr="004504D8">
        <w:rPr>
          <w:rFonts w:ascii="Arial" w:hAnsi="Arial" w:cs="Arial"/>
          <w:sz w:val="28"/>
          <w:szCs w:val="28"/>
        </w:rPr>
        <w:t>If,</w:t>
      </w:r>
      <w:r w:rsidR="003004B7" w:rsidRPr="003004B7">
        <w:rPr>
          <w:rFonts w:ascii="Arial" w:hAnsi="Arial" w:cs="Arial"/>
          <w:sz w:val="28"/>
          <w:szCs w:val="28"/>
        </w:rPr>
        <w:t xml:space="preserve"> however, the </w:t>
      </w:r>
      <w:r w:rsidR="00103EBB" w:rsidRPr="004504D8">
        <w:rPr>
          <w:rFonts w:ascii="Arial" w:hAnsi="Arial" w:cs="Arial"/>
          <w:sz w:val="28"/>
          <w:szCs w:val="28"/>
        </w:rPr>
        <w:t xml:space="preserve">aggrieved </w:t>
      </w:r>
      <w:r w:rsidR="003004B7" w:rsidRPr="003004B7">
        <w:rPr>
          <w:rFonts w:ascii="Arial" w:hAnsi="Arial" w:cs="Arial"/>
          <w:sz w:val="28"/>
          <w:szCs w:val="28"/>
        </w:rPr>
        <w:t xml:space="preserve">provider remains unsatisfied, they may escalate their representation to seek independent expert advice via the </w:t>
      </w:r>
      <w:r w:rsidR="00103EBB" w:rsidRPr="004504D8">
        <w:rPr>
          <w:rFonts w:ascii="Arial" w:hAnsi="Arial" w:cs="Arial"/>
          <w:sz w:val="28"/>
          <w:szCs w:val="28"/>
        </w:rPr>
        <w:t xml:space="preserve">Wales </w:t>
      </w:r>
      <w:r w:rsidR="003004B7" w:rsidRPr="003004B7">
        <w:rPr>
          <w:rFonts w:ascii="Arial" w:hAnsi="Arial" w:cs="Arial"/>
          <w:sz w:val="28"/>
          <w:szCs w:val="28"/>
        </w:rPr>
        <w:t xml:space="preserve">Procurement </w:t>
      </w:r>
      <w:r w:rsidR="00103EBB" w:rsidRPr="004504D8">
        <w:rPr>
          <w:rFonts w:ascii="Arial" w:hAnsi="Arial" w:cs="Arial"/>
          <w:sz w:val="28"/>
          <w:szCs w:val="28"/>
        </w:rPr>
        <w:t>Review Unit</w:t>
      </w:r>
      <w:r w:rsidR="003004B7" w:rsidRPr="003004B7">
        <w:rPr>
          <w:rFonts w:ascii="Arial" w:hAnsi="Arial" w:cs="Arial"/>
          <w:sz w:val="28"/>
          <w:szCs w:val="28"/>
        </w:rPr>
        <w:t xml:space="preserve"> (the </w:t>
      </w:r>
      <w:r w:rsidR="00103EBB" w:rsidRPr="004504D8">
        <w:rPr>
          <w:rFonts w:ascii="Arial" w:hAnsi="Arial" w:cs="Arial"/>
          <w:sz w:val="28"/>
          <w:szCs w:val="28"/>
        </w:rPr>
        <w:t xml:space="preserve">Wales </w:t>
      </w:r>
      <w:r w:rsidR="003004B7" w:rsidRPr="003004B7">
        <w:rPr>
          <w:rFonts w:ascii="Arial" w:hAnsi="Arial" w:cs="Arial"/>
          <w:sz w:val="28"/>
          <w:szCs w:val="28"/>
        </w:rPr>
        <w:t>P</w:t>
      </w:r>
      <w:r w:rsidR="00103EBB" w:rsidRPr="004504D8">
        <w:rPr>
          <w:rFonts w:ascii="Arial" w:hAnsi="Arial" w:cs="Arial"/>
          <w:sz w:val="28"/>
          <w:szCs w:val="28"/>
        </w:rPr>
        <w:t>RU</w:t>
      </w:r>
      <w:r w:rsidR="003004B7" w:rsidRPr="003004B7">
        <w:rPr>
          <w:rFonts w:ascii="Arial" w:hAnsi="Arial" w:cs="Arial"/>
          <w:sz w:val="28"/>
          <w:szCs w:val="28"/>
        </w:rPr>
        <w:t>). </w:t>
      </w:r>
    </w:p>
    <w:p w14:paraId="4BE325F2" w14:textId="14E266DB" w:rsidR="003004B7" w:rsidRPr="003004B7"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lastRenderedPageBreak/>
        <w:t xml:space="preserve">The </w:t>
      </w:r>
      <w:r w:rsidR="00103EBB" w:rsidRPr="004504D8">
        <w:rPr>
          <w:rFonts w:ascii="Arial" w:hAnsi="Arial" w:cs="Arial"/>
          <w:sz w:val="28"/>
          <w:szCs w:val="28"/>
        </w:rPr>
        <w:t xml:space="preserve">Wales PRU </w:t>
      </w:r>
      <w:r w:rsidRPr="003004B7">
        <w:rPr>
          <w:rFonts w:ascii="Arial" w:hAnsi="Arial" w:cs="Arial"/>
          <w:sz w:val="28"/>
          <w:szCs w:val="28"/>
        </w:rPr>
        <w:t>will consider whether the representations</w:t>
      </w:r>
      <w:r w:rsidR="00103EBB" w:rsidRPr="004504D8">
        <w:rPr>
          <w:rFonts w:ascii="Arial" w:hAnsi="Arial" w:cs="Arial"/>
          <w:sz w:val="28"/>
          <w:szCs w:val="28"/>
        </w:rPr>
        <w:t xml:space="preserve"> from the aggrieved provider</w:t>
      </w:r>
      <w:r w:rsidRPr="003004B7">
        <w:rPr>
          <w:rFonts w:ascii="Arial" w:hAnsi="Arial" w:cs="Arial"/>
          <w:sz w:val="28"/>
          <w:szCs w:val="28"/>
        </w:rPr>
        <w:t xml:space="preserve"> meet the</w:t>
      </w:r>
      <w:r w:rsidR="00103EBB" w:rsidRPr="004504D8">
        <w:rPr>
          <w:rFonts w:ascii="Arial" w:hAnsi="Arial" w:cs="Arial"/>
          <w:sz w:val="28"/>
          <w:szCs w:val="28"/>
        </w:rPr>
        <w:t xml:space="preserve"> </w:t>
      </w:r>
      <w:bookmarkStart w:id="1" w:name="_Hlk190423215"/>
      <w:r w:rsidR="00103EBB" w:rsidRPr="004504D8">
        <w:rPr>
          <w:rFonts w:ascii="Arial" w:hAnsi="Arial" w:cs="Arial"/>
          <w:sz w:val="28"/>
          <w:szCs w:val="28"/>
        </w:rPr>
        <w:t>Wales PRU</w:t>
      </w:r>
      <w:r w:rsidRPr="003004B7">
        <w:rPr>
          <w:rFonts w:ascii="Arial" w:hAnsi="Arial" w:cs="Arial"/>
          <w:sz w:val="28"/>
          <w:szCs w:val="28"/>
        </w:rPr>
        <w:t xml:space="preserve"> </w:t>
      </w:r>
      <w:bookmarkEnd w:id="1"/>
      <w:r w:rsidRPr="003004B7">
        <w:rPr>
          <w:rFonts w:ascii="Arial" w:hAnsi="Arial" w:cs="Arial"/>
          <w:sz w:val="28"/>
          <w:szCs w:val="28"/>
        </w:rPr>
        <w:t>acceptance criteria.</w:t>
      </w:r>
    </w:p>
    <w:p w14:paraId="643392CC" w14:textId="5F95715B" w:rsidR="003004B7" w:rsidRPr="003004B7"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t xml:space="preserve">If the escalated representation does not meet the acceptance criteria of </w:t>
      </w:r>
      <w:r w:rsidR="00103EBB" w:rsidRPr="004504D8">
        <w:rPr>
          <w:rFonts w:ascii="Arial" w:hAnsi="Arial" w:cs="Arial"/>
          <w:sz w:val="28"/>
          <w:szCs w:val="28"/>
        </w:rPr>
        <w:t>the Wales PRU</w:t>
      </w:r>
      <w:r w:rsidRPr="003004B7">
        <w:rPr>
          <w:rFonts w:ascii="Arial" w:hAnsi="Arial" w:cs="Arial"/>
          <w:sz w:val="28"/>
          <w:szCs w:val="28"/>
        </w:rPr>
        <w:t>, the representation will not be considered further. The relevant authority may end the standstill period and award the contract to their selected provider</w:t>
      </w:r>
      <w:r w:rsidR="00103EBB" w:rsidRPr="004504D8">
        <w:rPr>
          <w:rFonts w:ascii="Arial" w:hAnsi="Arial" w:cs="Arial"/>
          <w:sz w:val="28"/>
          <w:szCs w:val="28"/>
        </w:rPr>
        <w:t>(s)</w:t>
      </w:r>
      <w:r w:rsidRPr="003004B7">
        <w:rPr>
          <w:rFonts w:ascii="Arial" w:hAnsi="Arial" w:cs="Arial"/>
          <w:sz w:val="28"/>
          <w:szCs w:val="28"/>
        </w:rPr>
        <w:t>. </w:t>
      </w:r>
    </w:p>
    <w:p w14:paraId="29938CCE" w14:textId="3C1BF68A" w:rsidR="003004B7" w:rsidRPr="003004B7"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t xml:space="preserve">If the representation meets the acceptance criteria, then they will be considered further by the </w:t>
      </w:r>
      <w:r w:rsidR="00103EBB" w:rsidRPr="004504D8">
        <w:rPr>
          <w:rFonts w:ascii="Arial" w:hAnsi="Arial" w:cs="Arial"/>
          <w:sz w:val="28"/>
          <w:szCs w:val="28"/>
        </w:rPr>
        <w:t>Wales PRU</w:t>
      </w:r>
      <w:r w:rsidRPr="003004B7">
        <w:rPr>
          <w:rFonts w:ascii="Arial" w:hAnsi="Arial" w:cs="Arial"/>
          <w:sz w:val="28"/>
          <w:szCs w:val="28"/>
        </w:rPr>
        <w:t>. </w:t>
      </w:r>
    </w:p>
    <w:p w14:paraId="1C8D7582" w14:textId="58BB02DE" w:rsidR="003004B7" w:rsidRPr="004504D8"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t>Following considerations</w:t>
      </w:r>
      <w:r w:rsidR="00103EBB" w:rsidRPr="004504D8">
        <w:rPr>
          <w:rFonts w:ascii="Arial" w:hAnsi="Arial" w:cs="Arial"/>
          <w:sz w:val="28"/>
          <w:szCs w:val="28"/>
        </w:rPr>
        <w:t xml:space="preserve"> of the </w:t>
      </w:r>
      <w:r w:rsidR="00FE0B5D" w:rsidRPr="004504D8">
        <w:rPr>
          <w:rFonts w:ascii="Arial" w:hAnsi="Arial" w:cs="Arial"/>
          <w:sz w:val="28"/>
          <w:szCs w:val="28"/>
        </w:rPr>
        <w:t>aggrieved providers representation</w:t>
      </w:r>
      <w:r w:rsidRPr="003004B7">
        <w:rPr>
          <w:rFonts w:ascii="Arial" w:hAnsi="Arial" w:cs="Arial"/>
          <w:sz w:val="28"/>
          <w:szCs w:val="28"/>
        </w:rPr>
        <w:t xml:space="preserve">, the </w:t>
      </w:r>
      <w:r w:rsidR="00FE0B5D" w:rsidRPr="004504D8">
        <w:rPr>
          <w:rFonts w:ascii="Arial" w:hAnsi="Arial" w:cs="Arial"/>
          <w:sz w:val="28"/>
          <w:szCs w:val="28"/>
        </w:rPr>
        <w:t>Wales PRU</w:t>
      </w:r>
      <w:r w:rsidRPr="003004B7">
        <w:rPr>
          <w:rFonts w:ascii="Arial" w:hAnsi="Arial" w:cs="Arial"/>
          <w:sz w:val="28"/>
          <w:szCs w:val="28"/>
        </w:rPr>
        <w:t xml:space="preserve"> will share their advice with the relevant authority</w:t>
      </w:r>
      <w:r w:rsidR="00FE0B5D" w:rsidRPr="004504D8">
        <w:rPr>
          <w:rFonts w:ascii="Arial" w:hAnsi="Arial" w:cs="Arial"/>
          <w:sz w:val="28"/>
          <w:szCs w:val="28"/>
        </w:rPr>
        <w:t xml:space="preserve"> and </w:t>
      </w:r>
      <w:r w:rsidRPr="003004B7">
        <w:rPr>
          <w:rFonts w:ascii="Arial" w:hAnsi="Arial" w:cs="Arial"/>
          <w:sz w:val="28"/>
          <w:szCs w:val="28"/>
        </w:rPr>
        <w:t>publish</w:t>
      </w:r>
      <w:r w:rsidR="00FE0B5D" w:rsidRPr="004504D8">
        <w:rPr>
          <w:rFonts w:ascii="Arial" w:hAnsi="Arial" w:cs="Arial"/>
          <w:sz w:val="28"/>
          <w:szCs w:val="28"/>
        </w:rPr>
        <w:t xml:space="preserve"> details of its findings</w:t>
      </w:r>
      <w:r w:rsidRPr="003004B7">
        <w:rPr>
          <w:rFonts w:ascii="Arial" w:hAnsi="Arial" w:cs="Arial"/>
          <w:sz w:val="28"/>
          <w:szCs w:val="28"/>
        </w:rPr>
        <w:t>. </w:t>
      </w:r>
    </w:p>
    <w:p w14:paraId="086D521D" w14:textId="530B72E6" w:rsidR="00FE0B5D" w:rsidRPr="003004B7" w:rsidRDefault="00FE0B5D" w:rsidP="004504D8">
      <w:pPr>
        <w:tabs>
          <w:tab w:val="left" w:pos="1423"/>
        </w:tabs>
        <w:spacing w:line="276" w:lineRule="auto"/>
        <w:rPr>
          <w:rFonts w:ascii="Arial" w:hAnsi="Arial" w:cs="Arial"/>
          <w:sz w:val="28"/>
          <w:szCs w:val="28"/>
        </w:rPr>
      </w:pPr>
      <w:r w:rsidRPr="00FE0B5D">
        <w:rPr>
          <w:rFonts w:ascii="Arial" w:hAnsi="Arial" w:cs="Arial"/>
          <w:sz w:val="28"/>
          <w:szCs w:val="28"/>
        </w:rPr>
        <w:t>Other than exceptional circumstance</w:t>
      </w:r>
      <w:r w:rsidRPr="004504D8">
        <w:rPr>
          <w:rFonts w:ascii="Arial" w:hAnsi="Arial" w:cs="Arial"/>
          <w:sz w:val="28"/>
          <w:szCs w:val="28"/>
        </w:rPr>
        <w:t>s</w:t>
      </w:r>
      <w:r w:rsidRPr="00FE0B5D">
        <w:rPr>
          <w:rFonts w:ascii="Arial" w:hAnsi="Arial" w:cs="Arial"/>
          <w:sz w:val="28"/>
          <w:szCs w:val="28"/>
        </w:rPr>
        <w:t xml:space="preserve">, the standstill period should not be closed, nor should the contract be awarded until the </w:t>
      </w:r>
      <w:r w:rsidRPr="004504D8">
        <w:rPr>
          <w:rFonts w:ascii="Arial" w:hAnsi="Arial" w:cs="Arial"/>
          <w:sz w:val="28"/>
          <w:szCs w:val="28"/>
        </w:rPr>
        <w:t>Wales PRU</w:t>
      </w:r>
      <w:r w:rsidRPr="00FE0B5D">
        <w:rPr>
          <w:rFonts w:ascii="Arial" w:hAnsi="Arial" w:cs="Arial"/>
          <w:sz w:val="28"/>
          <w:szCs w:val="28"/>
        </w:rPr>
        <w:t xml:space="preserve"> has concluded their review.</w:t>
      </w:r>
    </w:p>
    <w:p w14:paraId="3E2538D4" w14:textId="4D4804B8" w:rsidR="00FE0B5D" w:rsidRPr="004504D8"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t xml:space="preserve">The relevant authority should consider the advice of the </w:t>
      </w:r>
      <w:r w:rsidR="00FE0B5D" w:rsidRPr="004504D8">
        <w:rPr>
          <w:rFonts w:ascii="Arial" w:hAnsi="Arial" w:cs="Arial"/>
          <w:sz w:val="28"/>
          <w:szCs w:val="28"/>
        </w:rPr>
        <w:t>Wales PRU</w:t>
      </w:r>
      <w:r w:rsidRPr="003004B7">
        <w:rPr>
          <w:rFonts w:ascii="Arial" w:hAnsi="Arial" w:cs="Arial"/>
          <w:sz w:val="28"/>
          <w:szCs w:val="28"/>
        </w:rPr>
        <w:t xml:space="preserve"> and take a further decision and decide whether to return </w:t>
      </w:r>
      <w:r w:rsidR="00FE0B5D" w:rsidRPr="004504D8">
        <w:rPr>
          <w:rFonts w:ascii="Arial" w:hAnsi="Arial" w:cs="Arial"/>
          <w:sz w:val="28"/>
          <w:szCs w:val="28"/>
        </w:rPr>
        <w:t>to an</w:t>
      </w:r>
      <w:r w:rsidRPr="003004B7">
        <w:rPr>
          <w:rFonts w:ascii="Arial" w:hAnsi="Arial" w:cs="Arial"/>
          <w:sz w:val="28"/>
          <w:szCs w:val="28"/>
        </w:rPr>
        <w:t xml:space="preserve"> earlier step in the procurement process</w:t>
      </w:r>
      <w:r w:rsidR="00FE0B5D" w:rsidRPr="004504D8">
        <w:rPr>
          <w:rFonts w:ascii="Arial" w:hAnsi="Arial" w:cs="Arial"/>
          <w:sz w:val="28"/>
          <w:szCs w:val="28"/>
        </w:rPr>
        <w:t>:</w:t>
      </w:r>
    </w:p>
    <w:p w14:paraId="3501F38F" w14:textId="77777777" w:rsidR="00FE0B5D" w:rsidRPr="00FE0B5D" w:rsidRDefault="00FE0B5D" w:rsidP="004504D8">
      <w:pPr>
        <w:numPr>
          <w:ilvl w:val="1"/>
          <w:numId w:val="1"/>
        </w:numPr>
        <w:tabs>
          <w:tab w:val="left" w:pos="1423"/>
        </w:tabs>
        <w:spacing w:line="276" w:lineRule="auto"/>
        <w:rPr>
          <w:rFonts w:ascii="Arial" w:hAnsi="Arial" w:cs="Arial"/>
          <w:sz w:val="28"/>
          <w:szCs w:val="28"/>
        </w:rPr>
      </w:pPr>
      <w:r w:rsidRPr="00FE0B5D">
        <w:rPr>
          <w:rFonts w:ascii="Arial" w:hAnsi="Arial" w:cs="Arial"/>
          <w:sz w:val="28"/>
          <w:szCs w:val="28"/>
        </w:rPr>
        <w:t xml:space="preserve">abandoning the procurement process, </w:t>
      </w:r>
    </w:p>
    <w:p w14:paraId="2312CA17" w14:textId="77777777" w:rsidR="00FE0B5D" w:rsidRPr="004504D8" w:rsidRDefault="00FE0B5D" w:rsidP="004504D8">
      <w:pPr>
        <w:numPr>
          <w:ilvl w:val="1"/>
          <w:numId w:val="1"/>
        </w:numPr>
        <w:tabs>
          <w:tab w:val="left" w:pos="1423"/>
        </w:tabs>
        <w:spacing w:line="276" w:lineRule="auto"/>
        <w:rPr>
          <w:rFonts w:ascii="Arial" w:hAnsi="Arial" w:cs="Arial"/>
          <w:sz w:val="28"/>
          <w:szCs w:val="28"/>
        </w:rPr>
      </w:pPr>
      <w:r w:rsidRPr="00FE0B5D">
        <w:rPr>
          <w:rFonts w:ascii="Arial" w:hAnsi="Arial" w:cs="Arial"/>
          <w:sz w:val="28"/>
          <w:szCs w:val="28"/>
        </w:rPr>
        <w:t xml:space="preserve">returning to an earlier step in the procurement process, or </w:t>
      </w:r>
    </w:p>
    <w:p w14:paraId="0FF240DF" w14:textId="77777777" w:rsidR="00FE0B5D" w:rsidRPr="004504D8" w:rsidRDefault="00FE0B5D" w:rsidP="004504D8">
      <w:pPr>
        <w:numPr>
          <w:ilvl w:val="1"/>
          <w:numId w:val="1"/>
        </w:numPr>
        <w:tabs>
          <w:tab w:val="left" w:pos="1423"/>
        </w:tabs>
        <w:spacing w:line="276" w:lineRule="auto"/>
        <w:rPr>
          <w:rFonts w:ascii="Arial" w:hAnsi="Arial" w:cs="Arial"/>
          <w:sz w:val="28"/>
          <w:szCs w:val="28"/>
        </w:rPr>
      </w:pPr>
      <w:r w:rsidRPr="00FE0B5D">
        <w:rPr>
          <w:rFonts w:ascii="Arial" w:hAnsi="Arial" w:cs="Arial"/>
          <w:sz w:val="28"/>
          <w:szCs w:val="28"/>
        </w:rPr>
        <w:t>continu</w:t>
      </w:r>
      <w:r w:rsidRPr="004504D8">
        <w:rPr>
          <w:rFonts w:ascii="Arial" w:hAnsi="Arial" w:cs="Arial"/>
          <w:sz w:val="28"/>
          <w:szCs w:val="28"/>
        </w:rPr>
        <w:t>ing</w:t>
      </w:r>
      <w:r w:rsidRPr="00FE0B5D">
        <w:rPr>
          <w:rFonts w:ascii="Arial" w:hAnsi="Arial" w:cs="Arial"/>
          <w:sz w:val="28"/>
          <w:szCs w:val="28"/>
        </w:rPr>
        <w:t xml:space="preserve"> with the contract award</w:t>
      </w:r>
      <w:r w:rsidR="003004B7" w:rsidRPr="003004B7">
        <w:rPr>
          <w:rFonts w:ascii="Arial" w:hAnsi="Arial" w:cs="Arial"/>
          <w:sz w:val="28"/>
          <w:szCs w:val="28"/>
        </w:rPr>
        <w:t xml:space="preserve"> to the originally selected provider(s). </w:t>
      </w:r>
    </w:p>
    <w:p w14:paraId="4F9E1F88" w14:textId="5BAF6E85" w:rsidR="003004B7" w:rsidRPr="004504D8" w:rsidRDefault="003004B7" w:rsidP="004504D8">
      <w:pPr>
        <w:tabs>
          <w:tab w:val="left" w:pos="1423"/>
        </w:tabs>
        <w:spacing w:line="276" w:lineRule="auto"/>
        <w:rPr>
          <w:rFonts w:ascii="Arial" w:hAnsi="Arial" w:cs="Arial"/>
          <w:sz w:val="28"/>
          <w:szCs w:val="28"/>
        </w:rPr>
      </w:pPr>
      <w:r w:rsidRPr="003004B7">
        <w:rPr>
          <w:rFonts w:ascii="Arial" w:hAnsi="Arial" w:cs="Arial"/>
          <w:sz w:val="28"/>
          <w:szCs w:val="28"/>
        </w:rPr>
        <w:t>The relevant authority must inform the provider(s) of their further decision.</w:t>
      </w:r>
    </w:p>
    <w:p w14:paraId="4E9F5D83" w14:textId="77777777" w:rsidR="007E593A" w:rsidRPr="007E593A" w:rsidRDefault="007E593A" w:rsidP="004504D8">
      <w:pPr>
        <w:spacing w:line="276" w:lineRule="auto"/>
        <w:rPr>
          <w:rFonts w:ascii="Arial" w:hAnsi="Arial" w:cs="Arial"/>
          <w:b/>
          <w:bCs/>
          <w:sz w:val="28"/>
          <w:szCs w:val="28"/>
        </w:rPr>
      </w:pPr>
      <w:r w:rsidRPr="007E593A">
        <w:rPr>
          <w:rFonts w:ascii="Arial" w:hAnsi="Arial" w:cs="Arial"/>
          <w:b/>
          <w:bCs/>
          <w:sz w:val="28"/>
          <w:szCs w:val="28"/>
        </w:rPr>
        <w:t>There are no further opportunities for a review of decisions during the standstill period under the PSR Wales.</w:t>
      </w:r>
    </w:p>
    <w:p w14:paraId="23967F5D" w14:textId="465F1228" w:rsidR="003004B7" w:rsidRPr="004504D8" w:rsidRDefault="006273C3" w:rsidP="004504D8">
      <w:pPr>
        <w:tabs>
          <w:tab w:val="left" w:pos="1423"/>
        </w:tabs>
        <w:spacing w:line="276" w:lineRule="auto"/>
        <w:rPr>
          <w:sz w:val="28"/>
          <w:szCs w:val="28"/>
        </w:rPr>
      </w:pPr>
      <w:r w:rsidRPr="002C0559">
        <w:rPr>
          <w:rFonts w:ascii="Arial" w:eastAsia="Times New Roman" w:hAnsi="Arial" w:cs="Arial"/>
          <w:noProof/>
          <w:color w:val="000000"/>
          <w:kern w:val="0"/>
          <w:sz w:val="28"/>
          <w:szCs w:val="28"/>
          <w:lang w:eastAsia="en-GB"/>
          <w14:ligatures w14:val="none"/>
        </w:rPr>
        <mc:AlternateContent>
          <mc:Choice Requires="wps">
            <w:drawing>
              <wp:anchor distT="45720" distB="45720" distL="114300" distR="114300" simplePos="0" relativeHeight="251669504" behindDoc="0" locked="0" layoutInCell="1" allowOverlap="1" wp14:anchorId="48485269" wp14:editId="0B27CAD7">
                <wp:simplePos x="0" y="0"/>
                <wp:positionH relativeFrom="margin">
                  <wp:align>center</wp:align>
                </wp:positionH>
                <wp:positionV relativeFrom="paragraph">
                  <wp:posOffset>407035</wp:posOffset>
                </wp:positionV>
                <wp:extent cx="6553835" cy="786765"/>
                <wp:effectExtent l="0" t="0" r="18415" b="1333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835" cy="786765"/>
                        </a:xfrm>
                        <a:prstGeom prst="rect">
                          <a:avLst/>
                        </a:prstGeom>
                        <a:solidFill>
                          <a:srgbClr val="FFFFFF"/>
                        </a:solidFill>
                        <a:ln w="9525">
                          <a:solidFill>
                            <a:srgbClr val="000000"/>
                          </a:solidFill>
                          <a:miter lim="800000"/>
                          <a:headEnd/>
                          <a:tailEnd/>
                        </a:ln>
                      </wps:spPr>
                      <wps:txbx>
                        <w:txbxContent>
                          <w:p w14:paraId="35FA519A" w14:textId="77777777" w:rsidR="006273C3" w:rsidRPr="00725739" w:rsidRDefault="006273C3" w:rsidP="006273C3">
                            <w:pPr>
                              <w:shd w:val="clear" w:color="auto" w:fill="FFFFFF"/>
                              <w:spacing w:after="0" w:line="240" w:lineRule="auto"/>
                              <w:jc w:val="center"/>
                              <w:textAlignment w:val="baseline"/>
                              <w:rPr>
                                <w:rFonts w:ascii="Arial" w:eastAsia="Times New Roman" w:hAnsi="Arial" w:cs="Arial"/>
                                <w:b/>
                                <w:bCs/>
                                <w:color w:val="000000"/>
                                <w:kern w:val="0"/>
                                <w:sz w:val="28"/>
                                <w:szCs w:val="28"/>
                                <w:lang w:eastAsia="en-GB"/>
                                <w14:ligatures w14:val="none"/>
                              </w:rPr>
                            </w:pPr>
                            <w:r>
                              <w:rPr>
                                <w:rFonts w:ascii="Arial" w:eastAsia="Times New Roman" w:hAnsi="Arial" w:cs="Arial"/>
                                <w:b/>
                                <w:bCs/>
                                <w:color w:val="000000"/>
                                <w:kern w:val="0"/>
                                <w:sz w:val="28"/>
                                <w:szCs w:val="28"/>
                                <w:lang w:eastAsia="en-GB"/>
                                <w14:ligatures w14:val="none"/>
                              </w:rPr>
                              <w:t>Note: Stakeholders</w:t>
                            </w:r>
                            <w:r w:rsidRPr="00725739">
                              <w:rPr>
                                <w:rFonts w:ascii="Arial" w:eastAsia="Times New Roman" w:hAnsi="Arial" w:cs="Arial"/>
                                <w:b/>
                                <w:bCs/>
                                <w:color w:val="000000"/>
                                <w:kern w:val="0"/>
                                <w:sz w:val="28"/>
                                <w:szCs w:val="28"/>
                                <w:lang w:eastAsia="en-GB"/>
                                <w14:ligatures w14:val="none"/>
                              </w:rPr>
                              <w:t xml:space="preserve"> must refer to the </w:t>
                            </w:r>
                            <w:hyperlink r:id="rId20" w:history="1">
                              <w:r w:rsidRPr="00CF0991">
                                <w:rPr>
                                  <w:rStyle w:val="Hyperlink"/>
                                  <w:rFonts w:ascii="Arial" w:eastAsia="Times New Roman" w:hAnsi="Arial" w:cs="Arial"/>
                                  <w:b/>
                                  <w:bCs/>
                                  <w:kern w:val="0"/>
                                  <w:sz w:val="28"/>
                                  <w:szCs w:val="28"/>
                                  <w:lang w:eastAsia="en-GB"/>
                                  <w14:ligatures w14:val="none"/>
                                </w:rPr>
                                <w:t>Health Services (Provider Selection Regime) (Wales</w:t>
                              </w:r>
                              <w:r>
                                <w:rPr>
                                  <w:rStyle w:val="Hyperlink"/>
                                  <w:rFonts w:ascii="Arial" w:eastAsia="Times New Roman" w:hAnsi="Arial" w:cs="Arial"/>
                                  <w:b/>
                                  <w:bCs/>
                                  <w:kern w:val="0"/>
                                  <w:sz w:val="28"/>
                                  <w:szCs w:val="28"/>
                                  <w:lang w:eastAsia="en-GB"/>
                                  <w14:ligatures w14:val="none"/>
                                </w:rPr>
                                <w:t>)</w:t>
                              </w:r>
                              <w:r w:rsidRPr="00CF0991">
                                <w:rPr>
                                  <w:rStyle w:val="Hyperlink"/>
                                  <w:rFonts w:ascii="Arial" w:eastAsia="Times New Roman" w:hAnsi="Arial" w:cs="Arial"/>
                                  <w:b/>
                                  <w:bCs/>
                                  <w:kern w:val="0"/>
                                  <w:sz w:val="28"/>
                                  <w:szCs w:val="28"/>
                                  <w:lang w:eastAsia="en-GB"/>
                                  <w14:ligatures w14:val="none"/>
                                </w:rPr>
                                <w:t xml:space="preserve"> Regulations 2025</w:t>
                              </w:r>
                            </w:hyperlink>
                            <w:r w:rsidRPr="00725739">
                              <w:rPr>
                                <w:rFonts w:ascii="Arial" w:eastAsia="Times New Roman" w:hAnsi="Arial" w:cs="Arial"/>
                                <w:b/>
                                <w:bCs/>
                                <w:color w:val="000000"/>
                                <w:kern w:val="0"/>
                                <w:sz w:val="28"/>
                                <w:szCs w:val="28"/>
                                <w:lang w:eastAsia="en-GB"/>
                                <w14:ligatures w14:val="none"/>
                              </w:rPr>
                              <w:t xml:space="preserve">, when </w:t>
                            </w:r>
                            <w:r>
                              <w:rPr>
                                <w:rFonts w:ascii="Arial" w:eastAsia="Times New Roman" w:hAnsi="Arial" w:cs="Arial"/>
                                <w:b/>
                                <w:bCs/>
                                <w:color w:val="000000"/>
                                <w:kern w:val="0"/>
                                <w:sz w:val="28"/>
                                <w:szCs w:val="28"/>
                                <w:lang w:eastAsia="en-GB"/>
                                <w14:ligatures w14:val="none"/>
                              </w:rPr>
                              <w:t xml:space="preserve">implementing the </w:t>
                            </w:r>
                            <w:r w:rsidRPr="00725739">
                              <w:rPr>
                                <w:rFonts w:ascii="Arial" w:eastAsia="Times New Roman" w:hAnsi="Arial" w:cs="Arial"/>
                                <w:b/>
                                <w:bCs/>
                                <w:color w:val="000000"/>
                                <w:kern w:val="0"/>
                                <w:sz w:val="28"/>
                                <w:szCs w:val="28"/>
                                <w:lang w:eastAsia="en-GB"/>
                                <w14:ligatures w14:val="none"/>
                              </w:rPr>
                              <w:t>Provider Selection Regime Wales.</w:t>
                            </w:r>
                          </w:p>
                          <w:p w14:paraId="5F19523E" w14:textId="77777777" w:rsidR="006273C3" w:rsidRPr="00725739" w:rsidRDefault="006273C3" w:rsidP="006273C3">
                            <w:pPr>
                              <w:rPr>
                                <w:rFonts w:ascii="Arial" w:hAnsi="Arial" w:cs="Arial"/>
                                <w:sz w:val="28"/>
                                <w:szCs w:val="28"/>
                              </w:rPr>
                            </w:pPr>
                          </w:p>
                          <w:p w14:paraId="6974F16F" w14:textId="77777777" w:rsidR="006273C3" w:rsidRDefault="006273C3" w:rsidP="006273C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485269" id="_x0000_t202" coordsize="21600,21600" o:spt="202" path="m,l,21600r21600,l21600,xe">
                <v:stroke joinstyle="miter"/>
                <v:path gradientshapeok="t" o:connecttype="rect"/>
              </v:shapetype>
              <v:shape id="Text Box 2" o:spid="_x0000_s1027" type="#_x0000_t202" style="position:absolute;margin-left:0;margin-top:32.05pt;width:516.05pt;height:61.95pt;z-index:25166950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WYOEwIAACYEAAAOAAAAZHJzL2Uyb0RvYy54bWysk9uO2yAQhu8r9R0Q942TbJzNWnFW22xT&#10;VdoepG0fAAOOUTFDgcROn74D9mbT001VLhDDwM/MN8P6tm81OUrnFZiSziZTSqThIJTZl/TL592r&#10;FSU+MCOYBiNLepKe3m5evlh3tpBzaEAL6QiKGF90tqRNCLbIMs8b2TI/ASsNOmtwLQtoun0mHOtQ&#10;vdXZfDpdZh04YR1w6T3u3g9Oukn6dS15+FjXXgaiS4qxhTS7NFdxzjZrVuwds43iYxjsH6JomTL4&#10;6FnqngVGDk79JtUq7sBDHSYc2gzqWnGZcsBsZtNfsnlsmJUpF4Tj7RmT/3+y/MPx0X5yJPSvoccC&#10;piS8fQD+1RMD24aZvbxzDrpGMoEPzyKyrLO+GK9G1L7wUaTq3oPAIrNDgCTU166NVDBPgupYgNMZ&#10;uuwD4bi5zPOr1VVOCUff9Wp5vczTE6x4um2dD28ltCQuSuqwqEmdHR98iNGw4ulIfMyDVmKntE6G&#10;21db7ciRYQPs0hjVfzqmDelKepPP8wHAXyWmafxJolUBO1mrtqSr8yFWRGxvjEh9FpjSwxpD1mbk&#10;GNENEENf9USJEXLEWoE4IVgHQ+PiR8NFA+47JR02bUn9twNzkhL9zmBxbmaLRezyZCzy6zka7tJT&#10;XXqY4ShV0kDJsNyG9DMiNwN3WMRaJb7PkYwhYzMm7OPHid1+aadTz9978wMAAP//AwBQSwMEFAAG&#10;AAgAAAAhAPa3+NzeAAAACAEAAA8AAABkcnMvZG93bnJldi54bWxMj81OwzAQhO9IvIO1SFwQtfuj&#10;EEKcCiGB4FYKgqsbb5OIeB1sNw1vz/YEt1nNaPabcj25XowYYudJw3ymQCDV3nbUaHh/e7zOQcRk&#10;yJreE2r4wQjr6vysNIX1R3rFcZsawSUUC6OhTWkopIx1i87EmR+Q2Nv74EziMzTSBnPkctfLhVKZ&#10;dKYj/tCaAR9arL+2B6chXz2Pn/Flufmos31/m65uxqfvoPXlxXR/ByLhlP7CcMJndKiYaecPZKPo&#10;NfCQpCFbzUGcXLVcsNqxynMFsirl/wHVLwAAAP//AwBQSwECLQAUAAYACAAAACEAtoM4kv4AAADh&#10;AQAAEwAAAAAAAAAAAAAAAAAAAAAAW0NvbnRlbnRfVHlwZXNdLnhtbFBLAQItABQABgAIAAAAIQA4&#10;/SH/1gAAAJQBAAALAAAAAAAAAAAAAAAAAC8BAABfcmVscy8ucmVsc1BLAQItABQABgAIAAAAIQDK&#10;AWYOEwIAACYEAAAOAAAAAAAAAAAAAAAAAC4CAABkcnMvZTJvRG9jLnhtbFBLAQItABQABgAIAAAA&#10;IQD2t/jc3gAAAAgBAAAPAAAAAAAAAAAAAAAAAG0EAABkcnMvZG93bnJldi54bWxQSwUGAAAAAAQA&#10;BADzAAAAeAUAAAAA&#10;">
                <v:textbox>
                  <w:txbxContent>
                    <w:p w14:paraId="35FA519A" w14:textId="77777777" w:rsidR="006273C3" w:rsidRPr="00725739" w:rsidRDefault="006273C3" w:rsidP="006273C3">
                      <w:pPr>
                        <w:shd w:val="clear" w:color="auto" w:fill="FFFFFF"/>
                        <w:spacing w:after="0" w:line="240" w:lineRule="auto"/>
                        <w:jc w:val="center"/>
                        <w:textAlignment w:val="baseline"/>
                        <w:rPr>
                          <w:rFonts w:ascii="Arial" w:eastAsia="Times New Roman" w:hAnsi="Arial" w:cs="Arial"/>
                          <w:b/>
                          <w:bCs/>
                          <w:color w:val="000000"/>
                          <w:kern w:val="0"/>
                          <w:sz w:val="28"/>
                          <w:szCs w:val="28"/>
                          <w:lang w:eastAsia="en-GB"/>
                          <w14:ligatures w14:val="none"/>
                        </w:rPr>
                      </w:pPr>
                      <w:r>
                        <w:rPr>
                          <w:rFonts w:ascii="Arial" w:eastAsia="Times New Roman" w:hAnsi="Arial" w:cs="Arial"/>
                          <w:b/>
                          <w:bCs/>
                          <w:color w:val="000000"/>
                          <w:kern w:val="0"/>
                          <w:sz w:val="28"/>
                          <w:szCs w:val="28"/>
                          <w:lang w:eastAsia="en-GB"/>
                          <w14:ligatures w14:val="none"/>
                        </w:rPr>
                        <w:t>Note: Stakeholders</w:t>
                      </w:r>
                      <w:r w:rsidRPr="00725739">
                        <w:rPr>
                          <w:rFonts w:ascii="Arial" w:eastAsia="Times New Roman" w:hAnsi="Arial" w:cs="Arial"/>
                          <w:b/>
                          <w:bCs/>
                          <w:color w:val="000000"/>
                          <w:kern w:val="0"/>
                          <w:sz w:val="28"/>
                          <w:szCs w:val="28"/>
                          <w:lang w:eastAsia="en-GB"/>
                          <w14:ligatures w14:val="none"/>
                        </w:rPr>
                        <w:t xml:space="preserve"> must refer to the </w:t>
                      </w:r>
                      <w:hyperlink r:id="rId21" w:history="1">
                        <w:r w:rsidRPr="00CF0991">
                          <w:rPr>
                            <w:rStyle w:val="Hyperlink"/>
                            <w:rFonts w:ascii="Arial" w:eastAsia="Times New Roman" w:hAnsi="Arial" w:cs="Arial"/>
                            <w:b/>
                            <w:bCs/>
                            <w:kern w:val="0"/>
                            <w:sz w:val="28"/>
                            <w:szCs w:val="28"/>
                            <w:lang w:eastAsia="en-GB"/>
                            <w14:ligatures w14:val="none"/>
                          </w:rPr>
                          <w:t>Health Services (Provider Selection Regime) (Wales</w:t>
                        </w:r>
                        <w:r>
                          <w:rPr>
                            <w:rStyle w:val="Hyperlink"/>
                            <w:rFonts w:ascii="Arial" w:eastAsia="Times New Roman" w:hAnsi="Arial" w:cs="Arial"/>
                            <w:b/>
                            <w:bCs/>
                            <w:kern w:val="0"/>
                            <w:sz w:val="28"/>
                            <w:szCs w:val="28"/>
                            <w:lang w:eastAsia="en-GB"/>
                            <w14:ligatures w14:val="none"/>
                          </w:rPr>
                          <w:t>)</w:t>
                        </w:r>
                        <w:r w:rsidRPr="00CF0991">
                          <w:rPr>
                            <w:rStyle w:val="Hyperlink"/>
                            <w:rFonts w:ascii="Arial" w:eastAsia="Times New Roman" w:hAnsi="Arial" w:cs="Arial"/>
                            <w:b/>
                            <w:bCs/>
                            <w:kern w:val="0"/>
                            <w:sz w:val="28"/>
                            <w:szCs w:val="28"/>
                            <w:lang w:eastAsia="en-GB"/>
                            <w14:ligatures w14:val="none"/>
                          </w:rPr>
                          <w:t xml:space="preserve"> Regulations 2025</w:t>
                        </w:r>
                      </w:hyperlink>
                      <w:r w:rsidRPr="00725739">
                        <w:rPr>
                          <w:rFonts w:ascii="Arial" w:eastAsia="Times New Roman" w:hAnsi="Arial" w:cs="Arial"/>
                          <w:b/>
                          <w:bCs/>
                          <w:color w:val="000000"/>
                          <w:kern w:val="0"/>
                          <w:sz w:val="28"/>
                          <w:szCs w:val="28"/>
                          <w:lang w:eastAsia="en-GB"/>
                          <w14:ligatures w14:val="none"/>
                        </w:rPr>
                        <w:t xml:space="preserve">, when </w:t>
                      </w:r>
                      <w:r>
                        <w:rPr>
                          <w:rFonts w:ascii="Arial" w:eastAsia="Times New Roman" w:hAnsi="Arial" w:cs="Arial"/>
                          <w:b/>
                          <w:bCs/>
                          <w:color w:val="000000"/>
                          <w:kern w:val="0"/>
                          <w:sz w:val="28"/>
                          <w:szCs w:val="28"/>
                          <w:lang w:eastAsia="en-GB"/>
                          <w14:ligatures w14:val="none"/>
                        </w:rPr>
                        <w:t xml:space="preserve">implementing the </w:t>
                      </w:r>
                      <w:r w:rsidRPr="00725739">
                        <w:rPr>
                          <w:rFonts w:ascii="Arial" w:eastAsia="Times New Roman" w:hAnsi="Arial" w:cs="Arial"/>
                          <w:b/>
                          <w:bCs/>
                          <w:color w:val="000000"/>
                          <w:kern w:val="0"/>
                          <w:sz w:val="28"/>
                          <w:szCs w:val="28"/>
                          <w:lang w:eastAsia="en-GB"/>
                          <w14:ligatures w14:val="none"/>
                        </w:rPr>
                        <w:t>Provider Selection Regime Wales.</w:t>
                      </w:r>
                    </w:p>
                    <w:p w14:paraId="5F19523E" w14:textId="77777777" w:rsidR="006273C3" w:rsidRPr="00725739" w:rsidRDefault="006273C3" w:rsidP="006273C3">
                      <w:pPr>
                        <w:rPr>
                          <w:rFonts w:ascii="Arial" w:hAnsi="Arial" w:cs="Arial"/>
                          <w:sz w:val="28"/>
                          <w:szCs w:val="28"/>
                        </w:rPr>
                      </w:pPr>
                    </w:p>
                    <w:p w14:paraId="6974F16F" w14:textId="77777777" w:rsidR="006273C3" w:rsidRDefault="006273C3" w:rsidP="006273C3"/>
                  </w:txbxContent>
                </v:textbox>
                <w10:wrap type="square" anchorx="margin"/>
              </v:shape>
            </w:pict>
          </mc:Fallback>
        </mc:AlternateContent>
      </w:r>
    </w:p>
    <w:sectPr w:rsidR="003004B7" w:rsidRPr="004504D8" w:rsidSect="006273C3">
      <w:pgSz w:w="11906" w:h="16838"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8AF590" w14:textId="77777777" w:rsidR="00431D2C" w:rsidRDefault="00431D2C" w:rsidP="003634A7">
      <w:pPr>
        <w:spacing w:after="0" w:line="240" w:lineRule="auto"/>
      </w:pPr>
      <w:r>
        <w:separator/>
      </w:r>
    </w:p>
  </w:endnote>
  <w:endnote w:type="continuationSeparator" w:id="0">
    <w:p w14:paraId="6A13D5BB" w14:textId="77777777" w:rsidR="00431D2C" w:rsidRDefault="00431D2C" w:rsidP="003634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86B88" w14:textId="77777777" w:rsidR="003634A7" w:rsidRDefault="003634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4091223"/>
      <w:docPartObj>
        <w:docPartGallery w:val="Page Numbers (Bottom of Page)"/>
        <w:docPartUnique/>
      </w:docPartObj>
    </w:sdtPr>
    <w:sdtContent>
      <w:p w14:paraId="02960522" w14:textId="26C49A6C" w:rsidR="00116087" w:rsidRDefault="00116087">
        <w:pPr>
          <w:pStyle w:val="Footer"/>
          <w:jc w:val="center"/>
        </w:pPr>
        <w:r>
          <w:fldChar w:fldCharType="begin"/>
        </w:r>
        <w:r>
          <w:instrText>PAGE   \* MERGEFORMAT</w:instrText>
        </w:r>
        <w:r>
          <w:fldChar w:fldCharType="separate"/>
        </w:r>
        <w:r>
          <w:t>2</w:t>
        </w:r>
        <w:r>
          <w:fldChar w:fldCharType="end"/>
        </w:r>
      </w:p>
    </w:sdtContent>
  </w:sdt>
  <w:p w14:paraId="0887F8D9" w14:textId="77777777" w:rsidR="003634A7" w:rsidRDefault="003634A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3A1F9" w14:textId="77777777" w:rsidR="003634A7" w:rsidRDefault="003634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4DA203" w14:textId="77777777" w:rsidR="00431D2C" w:rsidRDefault="00431D2C" w:rsidP="003634A7">
      <w:pPr>
        <w:spacing w:after="0" w:line="240" w:lineRule="auto"/>
      </w:pPr>
      <w:r>
        <w:separator/>
      </w:r>
    </w:p>
  </w:footnote>
  <w:footnote w:type="continuationSeparator" w:id="0">
    <w:p w14:paraId="6F25DB42" w14:textId="77777777" w:rsidR="00431D2C" w:rsidRDefault="00431D2C" w:rsidP="003634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E424A" w14:textId="77777777" w:rsidR="003634A7" w:rsidRDefault="003634A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0EA71" w14:textId="7F49B3D1" w:rsidR="00116087" w:rsidRDefault="00116087">
    <w:pPr>
      <w:pStyle w:val="Header"/>
    </w:pPr>
    <w:bookmarkStart w:id="0" w:name="_Hlk190432803"/>
    <w:r w:rsidRPr="00116087">
      <w:t>Welsh Government and NWSSP February 2025. Version 1</w:t>
    </w:r>
  </w:p>
  <w:bookmarkEnd w:id="0"/>
  <w:p w14:paraId="43BA0022" w14:textId="77777777" w:rsidR="003634A7" w:rsidRDefault="003634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0A2C3" w14:textId="77777777" w:rsidR="003634A7" w:rsidRDefault="003634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E3949"/>
    <w:multiLevelType w:val="hybridMultilevel"/>
    <w:tmpl w:val="D118262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CF17FEE"/>
    <w:multiLevelType w:val="hybridMultilevel"/>
    <w:tmpl w:val="5DA86C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8701871">
    <w:abstractNumId w:val="0"/>
  </w:num>
  <w:num w:numId="2" w16cid:durableId="18614306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5CF"/>
    <w:rsid w:val="000B3D91"/>
    <w:rsid w:val="000C1323"/>
    <w:rsid w:val="0010170A"/>
    <w:rsid w:val="00103EBB"/>
    <w:rsid w:val="00115433"/>
    <w:rsid w:val="00116087"/>
    <w:rsid w:val="001235C8"/>
    <w:rsid w:val="001F00A4"/>
    <w:rsid w:val="00211750"/>
    <w:rsid w:val="002323FA"/>
    <w:rsid w:val="0024314D"/>
    <w:rsid w:val="002505CF"/>
    <w:rsid w:val="00250902"/>
    <w:rsid w:val="002D0788"/>
    <w:rsid w:val="003004B7"/>
    <w:rsid w:val="003634A7"/>
    <w:rsid w:val="003A6564"/>
    <w:rsid w:val="00420F46"/>
    <w:rsid w:val="00431D2C"/>
    <w:rsid w:val="004504D8"/>
    <w:rsid w:val="00484C44"/>
    <w:rsid w:val="004E3067"/>
    <w:rsid w:val="00555071"/>
    <w:rsid w:val="005862C4"/>
    <w:rsid w:val="00606191"/>
    <w:rsid w:val="006273C3"/>
    <w:rsid w:val="00641CF8"/>
    <w:rsid w:val="006D365A"/>
    <w:rsid w:val="006D4487"/>
    <w:rsid w:val="00711C39"/>
    <w:rsid w:val="007E593A"/>
    <w:rsid w:val="00820F25"/>
    <w:rsid w:val="00825FA9"/>
    <w:rsid w:val="008536B1"/>
    <w:rsid w:val="009C55C6"/>
    <w:rsid w:val="00A041B3"/>
    <w:rsid w:val="00A06570"/>
    <w:rsid w:val="00A419E8"/>
    <w:rsid w:val="00AF060F"/>
    <w:rsid w:val="00B00D55"/>
    <w:rsid w:val="00B82F5D"/>
    <w:rsid w:val="00BB5D29"/>
    <w:rsid w:val="00C85D88"/>
    <w:rsid w:val="00CA1334"/>
    <w:rsid w:val="00CE08F1"/>
    <w:rsid w:val="00D87EA5"/>
    <w:rsid w:val="00DD4629"/>
    <w:rsid w:val="00DF7050"/>
    <w:rsid w:val="00E3729C"/>
    <w:rsid w:val="00E6703A"/>
    <w:rsid w:val="00E74D3B"/>
    <w:rsid w:val="00E85209"/>
    <w:rsid w:val="00E926A8"/>
    <w:rsid w:val="00F060F2"/>
    <w:rsid w:val="00FE0B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D9A2FF"/>
  <w15:chartTrackingRefBased/>
  <w15:docId w15:val="{3D5302B6-BBC7-43D4-BCC0-D9F205C31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209"/>
  </w:style>
  <w:style w:type="paragraph" w:styleId="Heading1">
    <w:name w:val="heading 1"/>
    <w:basedOn w:val="Normal"/>
    <w:next w:val="Normal"/>
    <w:link w:val="Heading1Char"/>
    <w:uiPriority w:val="9"/>
    <w:qFormat/>
    <w:rsid w:val="002505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05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05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05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05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05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05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05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05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05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05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05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05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05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05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05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05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05CF"/>
    <w:rPr>
      <w:rFonts w:eastAsiaTheme="majorEastAsia" w:cstheme="majorBidi"/>
      <w:color w:val="272727" w:themeColor="text1" w:themeTint="D8"/>
    </w:rPr>
  </w:style>
  <w:style w:type="paragraph" w:styleId="Title">
    <w:name w:val="Title"/>
    <w:basedOn w:val="Normal"/>
    <w:next w:val="Normal"/>
    <w:link w:val="TitleChar"/>
    <w:uiPriority w:val="10"/>
    <w:qFormat/>
    <w:rsid w:val="002505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05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05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05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05CF"/>
    <w:pPr>
      <w:spacing w:before="160"/>
      <w:jc w:val="center"/>
    </w:pPr>
    <w:rPr>
      <w:i/>
      <w:iCs/>
      <w:color w:val="404040" w:themeColor="text1" w:themeTint="BF"/>
    </w:rPr>
  </w:style>
  <w:style w:type="character" w:customStyle="1" w:styleId="QuoteChar">
    <w:name w:val="Quote Char"/>
    <w:basedOn w:val="DefaultParagraphFont"/>
    <w:link w:val="Quote"/>
    <w:uiPriority w:val="29"/>
    <w:rsid w:val="002505CF"/>
    <w:rPr>
      <w:i/>
      <w:iCs/>
      <w:color w:val="404040" w:themeColor="text1" w:themeTint="BF"/>
    </w:rPr>
  </w:style>
  <w:style w:type="paragraph" w:styleId="ListParagraph">
    <w:name w:val="List Paragraph"/>
    <w:basedOn w:val="Normal"/>
    <w:uiPriority w:val="34"/>
    <w:qFormat/>
    <w:rsid w:val="002505CF"/>
    <w:pPr>
      <w:ind w:left="720"/>
      <w:contextualSpacing/>
    </w:pPr>
  </w:style>
  <w:style w:type="character" w:styleId="IntenseEmphasis">
    <w:name w:val="Intense Emphasis"/>
    <w:basedOn w:val="DefaultParagraphFont"/>
    <w:uiPriority w:val="21"/>
    <w:qFormat/>
    <w:rsid w:val="002505CF"/>
    <w:rPr>
      <w:i/>
      <w:iCs/>
      <w:color w:val="0F4761" w:themeColor="accent1" w:themeShade="BF"/>
    </w:rPr>
  </w:style>
  <w:style w:type="paragraph" w:styleId="IntenseQuote">
    <w:name w:val="Intense Quote"/>
    <w:basedOn w:val="Normal"/>
    <w:next w:val="Normal"/>
    <w:link w:val="IntenseQuoteChar"/>
    <w:uiPriority w:val="30"/>
    <w:qFormat/>
    <w:rsid w:val="002505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05CF"/>
    <w:rPr>
      <w:i/>
      <w:iCs/>
      <w:color w:val="0F4761" w:themeColor="accent1" w:themeShade="BF"/>
    </w:rPr>
  </w:style>
  <w:style w:type="character" w:styleId="IntenseReference">
    <w:name w:val="Intense Reference"/>
    <w:basedOn w:val="DefaultParagraphFont"/>
    <w:uiPriority w:val="32"/>
    <w:qFormat/>
    <w:rsid w:val="002505CF"/>
    <w:rPr>
      <w:b/>
      <w:bCs/>
      <w:smallCaps/>
      <w:color w:val="0F4761" w:themeColor="accent1" w:themeShade="BF"/>
      <w:spacing w:val="5"/>
    </w:rPr>
  </w:style>
  <w:style w:type="paragraph" w:styleId="Header">
    <w:name w:val="header"/>
    <w:basedOn w:val="Normal"/>
    <w:link w:val="HeaderChar"/>
    <w:uiPriority w:val="99"/>
    <w:unhideWhenUsed/>
    <w:rsid w:val="003634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34A7"/>
  </w:style>
  <w:style w:type="paragraph" w:styleId="Footer">
    <w:name w:val="footer"/>
    <w:basedOn w:val="Normal"/>
    <w:link w:val="FooterChar"/>
    <w:uiPriority w:val="99"/>
    <w:unhideWhenUsed/>
    <w:rsid w:val="003634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34A7"/>
  </w:style>
  <w:style w:type="table" w:styleId="TableGrid">
    <w:name w:val="Table Grid"/>
    <w:basedOn w:val="TableNormal"/>
    <w:uiPriority w:val="39"/>
    <w:rsid w:val="003634A7"/>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273C3"/>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microsoft.com/office/2007/relationships/diagramDrawing" Target="diagrams/drawing1.xml" Id="rId13" /><Relationship Type="http://schemas.openxmlformats.org/officeDocument/2006/relationships/header" Target="header3.xml" Id="rId18" /><Relationship Type="http://schemas.openxmlformats.org/officeDocument/2006/relationships/numbering" Target="numbering.xml" Id="rId3" /><Relationship Type="http://schemas.openxmlformats.org/officeDocument/2006/relationships/hyperlink" Target="https://www.legislation.gov.uk/wsi/2025/99/note/made" TargetMode="External" Id="rId21" /><Relationship Type="http://schemas.openxmlformats.org/officeDocument/2006/relationships/footnotes" Target="footnotes.xml" Id="rId7" /><Relationship Type="http://schemas.openxmlformats.org/officeDocument/2006/relationships/diagramColors" Target="diagrams/colors1.xml" Id="rId12" /><Relationship Type="http://schemas.openxmlformats.org/officeDocument/2006/relationships/footer" Target="footer2.xml" Id="rId17"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hyperlink" Target="https://www.legislation.gov.uk/wsi/2025/99/note/made" TargetMode="External" Id="rId20" /><Relationship Type="http://schemas.openxmlformats.org/officeDocument/2006/relationships/webSettings" Target="webSettings.xml" Id="rId6" /><Relationship Type="http://schemas.openxmlformats.org/officeDocument/2006/relationships/diagramQuickStyle" Target="diagrams/quickStyle1.xml" Id="rId11" /><Relationship Type="http://schemas.openxmlformats.org/officeDocument/2006/relationships/settings" Target="settings.xml" Id="rId5" /><Relationship Type="http://schemas.openxmlformats.org/officeDocument/2006/relationships/header" Target="header2.xml" Id="rId15" /><Relationship Type="http://schemas.openxmlformats.org/officeDocument/2006/relationships/theme" Target="theme/theme1.xml" Id="rId23" /><Relationship Type="http://schemas.openxmlformats.org/officeDocument/2006/relationships/diagramLayout" Target="diagrams/layout1.xml" Id="rId10" /><Relationship Type="http://schemas.openxmlformats.org/officeDocument/2006/relationships/footer" Target="footer3.xml" Id="rId19" /><Relationship Type="http://schemas.openxmlformats.org/officeDocument/2006/relationships/styles" Target="styles.xml" Id="rId4" /><Relationship Type="http://schemas.openxmlformats.org/officeDocument/2006/relationships/diagramData" Target="diagrams/data1.xml" Id="rId9" /><Relationship Type="http://schemas.openxmlformats.org/officeDocument/2006/relationships/header" Target="header1.xml" Id="rId14" /><Relationship Type="http://schemas.openxmlformats.org/officeDocument/2006/relationships/fontTable" Target="fontTable.xml" Id="rId22" /><Relationship Type="http://schemas.openxmlformats.org/officeDocument/2006/relationships/customXml" Target="/customXml/item3.xml" Id="R73646e5d49d7420e" /></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F2D6DA4-0BA9-4D62-86EE-DD93D2FA5EF6}" type="doc">
      <dgm:prSet loTypeId="urn:microsoft.com/office/officeart/2005/8/layout/lProcess1" loCatId="process" qsTypeId="urn:microsoft.com/office/officeart/2005/8/quickstyle/simple1" qsCatId="simple" csTypeId="urn:microsoft.com/office/officeart/2005/8/colors/accent1_2" csCatId="accent1" phldr="1"/>
      <dgm:spPr/>
      <dgm:t>
        <a:bodyPr/>
        <a:lstStyle/>
        <a:p>
          <a:endParaRPr lang="en-GB"/>
        </a:p>
      </dgm:t>
    </dgm:pt>
    <dgm:pt modelId="{2DA36E5C-2328-41F2-8BB9-FEB18B03B502}">
      <dgm:prSet phldrT="[Text]" custT="1"/>
      <dgm:spPr>
        <a:solidFill>
          <a:srgbClr val="7030A0"/>
        </a:solidFill>
        <a:ln>
          <a:solidFill>
            <a:schemeClr val="tx1"/>
          </a:solidFill>
        </a:ln>
      </dgm:spPr>
      <dgm:t>
        <a:bodyPr/>
        <a:lstStyle/>
        <a:p>
          <a:r>
            <a:rPr lang="en-GB" sz="1200" b="1">
              <a:solidFill>
                <a:schemeClr val="bg1"/>
              </a:solidFill>
              <a:latin typeface="Arial" panose="020B0604020202020204" pitchFamily="34" charset="0"/>
              <a:cs typeface="Arial" panose="020B0604020202020204" pitchFamily="34" charset="0"/>
            </a:rPr>
            <a:t>Written representations are made in accordance with regulation 12(5) and (6) by the provider(s)</a:t>
          </a:r>
        </a:p>
      </dgm:t>
    </dgm:pt>
    <dgm:pt modelId="{213DFC53-EF42-4BDB-BC7C-4534AF688BC8}" type="parTrans" cxnId="{A903C4D0-666D-4F78-9702-278174883675}">
      <dgm:prSet/>
      <dgm:spPr/>
      <dgm:t>
        <a:bodyPr/>
        <a:lstStyle/>
        <a:p>
          <a:endParaRPr lang="en-GB"/>
        </a:p>
      </dgm:t>
    </dgm:pt>
    <dgm:pt modelId="{D910177B-040D-4F68-8C55-72DD891975CB}" type="sibTrans" cxnId="{A903C4D0-666D-4F78-9702-278174883675}">
      <dgm:prSet/>
      <dgm:spPr/>
      <dgm:t>
        <a:bodyPr/>
        <a:lstStyle/>
        <a:p>
          <a:endParaRPr lang="en-GB"/>
        </a:p>
      </dgm:t>
    </dgm:pt>
    <dgm:pt modelId="{C2A3206E-0DD0-4745-9ADB-31426CF45C87}">
      <dgm:prSet phldrT="[Text]" custT="1"/>
      <dgm:spPr>
        <a:solidFill>
          <a:srgbClr val="7030A0">
            <a:alpha val="90000"/>
          </a:srgbClr>
        </a:solidFill>
        <a:ln>
          <a:solidFill>
            <a:schemeClr val="tx1">
              <a:alpha val="90000"/>
            </a:schemeClr>
          </a:solidFill>
        </a:ln>
      </dgm:spPr>
      <dgm:t>
        <a:bodyPr/>
        <a:lstStyle/>
        <a:p>
          <a:r>
            <a:rPr lang="en-GB" sz="1200" b="1">
              <a:solidFill>
                <a:schemeClr val="bg1"/>
              </a:solidFill>
              <a:latin typeface="Arial" panose="020B0604020202020204" pitchFamily="34" charset="0"/>
              <a:cs typeface="Arial" panose="020B0604020202020204" pitchFamily="34" charset="0"/>
            </a:rPr>
            <a:t>The relevant authority must allow the provider such further opportunity to explain or clarify their representations and promptly provide any information requested by the provider(s)</a:t>
          </a:r>
        </a:p>
      </dgm:t>
    </dgm:pt>
    <dgm:pt modelId="{0F928B4F-2D6C-482B-B567-CDAC3949BA4D}" type="parTrans" cxnId="{EFCDBC2B-2D43-4899-9878-2022874F34D0}">
      <dgm:prSet/>
      <dgm:spPr/>
      <dgm:t>
        <a:bodyPr/>
        <a:lstStyle/>
        <a:p>
          <a:endParaRPr lang="en-GB"/>
        </a:p>
      </dgm:t>
    </dgm:pt>
    <dgm:pt modelId="{9211121A-A251-4D79-9928-FA59604A1F36}" type="sibTrans" cxnId="{EFCDBC2B-2D43-4899-9878-2022874F34D0}">
      <dgm:prSet/>
      <dgm:spPr/>
      <dgm:t>
        <a:bodyPr/>
        <a:lstStyle/>
        <a:p>
          <a:endParaRPr lang="en-GB"/>
        </a:p>
      </dgm:t>
    </dgm:pt>
    <dgm:pt modelId="{9CB35827-CC5F-4561-B619-644A5269673F}">
      <dgm:prSet phldrT="[Text]" custT="1"/>
      <dgm:spPr>
        <a:solidFill>
          <a:srgbClr val="7030A0"/>
        </a:solidFill>
        <a:ln>
          <a:solidFill>
            <a:schemeClr val="tx1"/>
          </a:solidFill>
        </a:ln>
      </dgm:spPr>
      <dgm:t>
        <a:bodyPr/>
        <a:lstStyle/>
        <a:p>
          <a:r>
            <a:rPr lang="en-GB" sz="1200" b="1">
              <a:solidFill>
                <a:schemeClr val="bg1"/>
              </a:solidFill>
              <a:latin typeface="Arial" panose="020B0604020202020204" pitchFamily="34" charset="0"/>
              <a:cs typeface="Arial" panose="020B0604020202020204" pitchFamily="34" charset="0"/>
            </a:rPr>
            <a:t>No written representations are received from provider(s), or no written representations that meet the requirements of regulations 12(5) and (6) are received from provider(s)</a:t>
          </a:r>
        </a:p>
      </dgm:t>
    </dgm:pt>
    <dgm:pt modelId="{B5499E90-7557-40A5-84A5-A446D7204CAF}" type="parTrans" cxnId="{203B0798-81AE-4EFB-9E45-F2B61D4FA54C}">
      <dgm:prSet/>
      <dgm:spPr/>
      <dgm:t>
        <a:bodyPr/>
        <a:lstStyle/>
        <a:p>
          <a:endParaRPr lang="en-GB"/>
        </a:p>
      </dgm:t>
    </dgm:pt>
    <dgm:pt modelId="{47816225-5865-475B-9F1B-4ED78B80C58D}" type="sibTrans" cxnId="{203B0798-81AE-4EFB-9E45-F2B61D4FA54C}">
      <dgm:prSet/>
      <dgm:spPr/>
      <dgm:t>
        <a:bodyPr/>
        <a:lstStyle/>
        <a:p>
          <a:endParaRPr lang="en-GB"/>
        </a:p>
      </dgm:t>
    </dgm:pt>
    <dgm:pt modelId="{5E4D40CD-2D15-4710-A886-9256147A5050}">
      <dgm:prSet phldrT="[Text]" custT="1"/>
      <dgm:spPr>
        <a:solidFill>
          <a:srgbClr val="7030A0">
            <a:alpha val="90000"/>
          </a:srgbClr>
        </a:solidFill>
        <a:ln>
          <a:solidFill>
            <a:schemeClr val="tx1">
              <a:alpha val="90000"/>
            </a:schemeClr>
          </a:solidFill>
        </a:ln>
      </dgm:spPr>
      <dgm:t>
        <a:bodyPr/>
        <a:lstStyle/>
        <a:p>
          <a:r>
            <a:rPr lang="en-GB" sz="1200" b="1">
              <a:solidFill>
                <a:schemeClr val="bg1"/>
              </a:solidFill>
              <a:latin typeface="Arial" panose="020B0604020202020204" pitchFamily="34" charset="0"/>
              <a:cs typeface="Arial" panose="020B0604020202020204" pitchFamily="34" charset="0"/>
            </a:rPr>
            <a:t>The relevant authority must make a further decision and can make any number of subsequent further decisions</a:t>
          </a:r>
        </a:p>
      </dgm:t>
    </dgm:pt>
    <dgm:pt modelId="{91C0A386-490D-4AB1-98A5-8610E8C8F04F}" type="parTrans" cxnId="{30DF497F-F8EE-4FAB-B02A-0272B53DC8F1}">
      <dgm:prSet/>
      <dgm:spPr/>
      <dgm:t>
        <a:bodyPr/>
        <a:lstStyle/>
        <a:p>
          <a:endParaRPr lang="en-GB"/>
        </a:p>
      </dgm:t>
    </dgm:pt>
    <dgm:pt modelId="{32A5453A-C342-4516-8EB7-848A89BC45D2}" type="sibTrans" cxnId="{30DF497F-F8EE-4FAB-B02A-0272B53DC8F1}">
      <dgm:prSet/>
      <dgm:spPr/>
      <dgm:t>
        <a:bodyPr/>
        <a:lstStyle/>
        <a:p>
          <a:endParaRPr lang="en-GB"/>
        </a:p>
      </dgm:t>
    </dgm:pt>
    <dgm:pt modelId="{44D22DAB-5EAF-4298-8C0B-FD191E0703E7}">
      <dgm:prSet phldrT="[Text]" custT="1"/>
      <dgm:spPr>
        <a:solidFill>
          <a:srgbClr val="7030A0">
            <a:alpha val="90000"/>
          </a:srgbClr>
        </a:solidFill>
        <a:ln>
          <a:solidFill>
            <a:schemeClr val="tx1">
              <a:alpha val="90000"/>
            </a:schemeClr>
          </a:solidFill>
        </a:ln>
      </dgm:spPr>
      <dgm:t>
        <a:bodyPr/>
        <a:lstStyle/>
        <a:p>
          <a:r>
            <a:rPr lang="en-GB" sz="1200" b="1">
              <a:solidFill>
                <a:schemeClr val="bg1"/>
              </a:solidFill>
              <a:latin typeface="Arial" panose="020B0604020202020204" pitchFamily="34" charset="0"/>
              <a:cs typeface="Arial" panose="020B0604020202020204" pitchFamily="34" charset="0"/>
            </a:rPr>
            <a:t>The relevant authority must communicate its further decision and any subsequent decisions to the provider(s)</a:t>
          </a:r>
        </a:p>
      </dgm:t>
    </dgm:pt>
    <dgm:pt modelId="{0A1E2858-C306-495F-A4DA-801292EEB16D}" type="parTrans" cxnId="{6D64E8A1-6589-4069-9036-53AC35AC67C3}">
      <dgm:prSet/>
      <dgm:spPr/>
      <dgm:t>
        <a:bodyPr/>
        <a:lstStyle/>
        <a:p>
          <a:endParaRPr lang="en-GB"/>
        </a:p>
      </dgm:t>
    </dgm:pt>
    <dgm:pt modelId="{5DDFB29F-6E7A-4608-A266-71E99F840948}" type="sibTrans" cxnId="{6D64E8A1-6589-4069-9036-53AC35AC67C3}">
      <dgm:prSet/>
      <dgm:spPr/>
      <dgm:t>
        <a:bodyPr/>
        <a:lstStyle/>
        <a:p>
          <a:endParaRPr lang="en-GB"/>
        </a:p>
      </dgm:t>
    </dgm:pt>
    <dgm:pt modelId="{BA056E9A-4088-4EBD-A86C-E764DDA4DD48}">
      <dgm:prSet phldrT="[Text]" custT="1"/>
      <dgm:spPr>
        <a:solidFill>
          <a:srgbClr val="7030A0">
            <a:alpha val="90000"/>
          </a:srgbClr>
        </a:solidFill>
        <a:ln>
          <a:solidFill>
            <a:schemeClr val="tx1">
              <a:alpha val="90000"/>
            </a:schemeClr>
          </a:solidFill>
        </a:ln>
      </dgm:spPr>
      <dgm:t>
        <a:bodyPr/>
        <a:lstStyle/>
        <a:p>
          <a:r>
            <a:rPr lang="en-GB" sz="1200" b="1">
              <a:solidFill>
                <a:schemeClr val="bg1"/>
              </a:solidFill>
              <a:latin typeface="Arial" panose="020B0604020202020204" pitchFamily="34" charset="0"/>
              <a:cs typeface="Arial" panose="020B0604020202020204" pitchFamily="34" charset="0"/>
            </a:rPr>
            <a:t>The relevant authority must allow at least 5 working days before they end the standstill period</a:t>
          </a:r>
        </a:p>
      </dgm:t>
    </dgm:pt>
    <dgm:pt modelId="{CEE80800-83F3-40C4-8657-7D0E84B6C0F2}" type="parTrans" cxnId="{5DCAEF0C-5FC1-4B87-A29D-532ABCDF0A49}">
      <dgm:prSet/>
      <dgm:spPr/>
      <dgm:t>
        <a:bodyPr/>
        <a:lstStyle/>
        <a:p>
          <a:endParaRPr lang="en-GB"/>
        </a:p>
      </dgm:t>
    </dgm:pt>
    <dgm:pt modelId="{B580BC8C-8652-4F97-95BD-F8A463359BDF}" type="sibTrans" cxnId="{5DCAEF0C-5FC1-4B87-A29D-532ABCDF0A49}">
      <dgm:prSet/>
      <dgm:spPr/>
      <dgm:t>
        <a:bodyPr/>
        <a:lstStyle/>
        <a:p>
          <a:endParaRPr lang="en-GB"/>
        </a:p>
      </dgm:t>
    </dgm:pt>
    <dgm:pt modelId="{3B3B702E-614C-4DFC-A1B1-2CE9A9B2E9B0}">
      <dgm:prSet phldrT="[Text]" custT="1"/>
      <dgm:spPr>
        <a:solidFill>
          <a:srgbClr val="00B050">
            <a:alpha val="90000"/>
          </a:srgbClr>
        </a:solidFill>
        <a:ln>
          <a:solidFill>
            <a:schemeClr val="tx1">
              <a:alpha val="90000"/>
            </a:schemeClr>
          </a:solidFill>
        </a:ln>
      </dgm:spPr>
      <dgm:t>
        <a:bodyPr/>
        <a:lstStyle/>
        <a:p>
          <a:r>
            <a:rPr lang="en-GB" sz="1200" b="0">
              <a:solidFill>
                <a:sysClr val="windowText" lastClr="000000"/>
              </a:solidFill>
              <a:latin typeface="Arial" panose="020B0604020202020204" pitchFamily="34" charset="0"/>
              <a:cs typeface="Arial" panose="020B0604020202020204" pitchFamily="34" charset="0"/>
            </a:rPr>
            <a:t>If no further communication is received from the provider(s), then the relevant authority may progress with its last communicated further decision or subsequent further decision, as the case may be (i.e. continue with the original decision, return to an earlier step or abandon the procurement process)</a:t>
          </a:r>
        </a:p>
      </dgm:t>
    </dgm:pt>
    <dgm:pt modelId="{EC63D08A-78ED-4B9B-8669-6A3D307C12CA}" type="parTrans" cxnId="{97B46D72-C35C-4DE2-8A0D-0A21ECA6F3D9}">
      <dgm:prSet/>
      <dgm:spPr/>
      <dgm:t>
        <a:bodyPr/>
        <a:lstStyle/>
        <a:p>
          <a:endParaRPr lang="en-GB"/>
        </a:p>
      </dgm:t>
    </dgm:pt>
    <dgm:pt modelId="{3E2738D4-E514-440E-A365-CC2AA1109D32}" type="sibTrans" cxnId="{97B46D72-C35C-4DE2-8A0D-0A21ECA6F3D9}">
      <dgm:prSet/>
      <dgm:spPr/>
      <dgm:t>
        <a:bodyPr/>
        <a:lstStyle/>
        <a:p>
          <a:endParaRPr lang="en-GB"/>
        </a:p>
      </dgm:t>
    </dgm:pt>
    <dgm:pt modelId="{9E10927B-F5A4-4E46-B812-46140F0CDC75}">
      <dgm:prSet phldrT="[Text]" custT="1"/>
      <dgm:spPr>
        <a:solidFill>
          <a:srgbClr val="00B050">
            <a:alpha val="90000"/>
          </a:srgbClr>
        </a:solidFill>
      </dgm:spPr>
      <dgm:t>
        <a:bodyPr/>
        <a:lstStyle/>
        <a:p>
          <a:r>
            <a:rPr lang="en-GB" sz="1200" b="0">
              <a:solidFill>
                <a:sysClr val="windowText" lastClr="000000"/>
              </a:solidFill>
              <a:latin typeface="Arial" panose="020B0604020202020204" pitchFamily="34" charset="0"/>
              <a:cs typeface="Arial" panose="020B0604020202020204" pitchFamily="34" charset="0"/>
            </a:rPr>
            <a:t>If the relevant authority makes a further decision they should communicate its further decision and any other subsequent decisions to the provider(s)</a:t>
          </a:r>
        </a:p>
      </dgm:t>
    </dgm:pt>
    <dgm:pt modelId="{2C3C9C50-AF60-4AE5-B344-EAA4318C07EC}" type="parTrans" cxnId="{68C4A8A7-20A5-4170-978A-3F478E9799BD}">
      <dgm:prSet/>
      <dgm:spPr/>
      <dgm:t>
        <a:bodyPr/>
        <a:lstStyle/>
        <a:p>
          <a:endParaRPr lang="en-GB"/>
        </a:p>
      </dgm:t>
    </dgm:pt>
    <dgm:pt modelId="{6D77D949-7BF7-4079-9928-BDACD1720AF9}" type="sibTrans" cxnId="{68C4A8A7-20A5-4170-978A-3F478E9799BD}">
      <dgm:prSet/>
      <dgm:spPr/>
      <dgm:t>
        <a:bodyPr/>
        <a:lstStyle/>
        <a:p>
          <a:endParaRPr lang="en-GB"/>
        </a:p>
      </dgm:t>
    </dgm:pt>
    <dgm:pt modelId="{C5E9DACE-D07A-410D-94CC-71D2736E2960}">
      <dgm:prSet phldrT="[Text]" custT="1"/>
      <dgm:spPr>
        <a:solidFill>
          <a:srgbClr val="00B050">
            <a:alpha val="90000"/>
          </a:srgbClr>
        </a:solidFill>
        <a:ln>
          <a:solidFill>
            <a:schemeClr val="tx1">
              <a:alpha val="90000"/>
            </a:schemeClr>
          </a:solidFill>
        </a:ln>
      </dgm:spPr>
      <dgm:t>
        <a:bodyPr/>
        <a:lstStyle/>
        <a:p>
          <a:r>
            <a:rPr lang="en-GB" sz="1200" b="0">
              <a:solidFill>
                <a:sysClr val="windowText" lastClr="000000"/>
              </a:solidFill>
              <a:latin typeface="Arial" panose="020B0604020202020204" pitchFamily="34" charset="0"/>
              <a:cs typeface="Arial" panose="020B0604020202020204" pitchFamily="34" charset="0"/>
            </a:rPr>
            <a:t>The relevant authority should allow at least 5 working days before they end the standstill period </a:t>
          </a:r>
        </a:p>
      </dgm:t>
    </dgm:pt>
    <dgm:pt modelId="{E533A9EF-91D8-4399-B09E-22C45CC92D08}" type="parTrans" cxnId="{99547971-AF1A-4930-8AB4-D2222374A99E}">
      <dgm:prSet/>
      <dgm:spPr/>
      <dgm:t>
        <a:bodyPr/>
        <a:lstStyle/>
        <a:p>
          <a:endParaRPr lang="en-GB"/>
        </a:p>
      </dgm:t>
    </dgm:pt>
    <dgm:pt modelId="{3B0F54B0-FE72-4FFB-BCA5-56C59FADBF79}" type="sibTrans" cxnId="{99547971-AF1A-4930-8AB4-D2222374A99E}">
      <dgm:prSet/>
      <dgm:spPr/>
      <dgm:t>
        <a:bodyPr/>
        <a:lstStyle/>
        <a:p>
          <a:endParaRPr lang="en-GB"/>
        </a:p>
      </dgm:t>
    </dgm:pt>
    <dgm:pt modelId="{B2287F8B-06C5-4C7B-8B28-CBC9F592A5C0}">
      <dgm:prSet phldrT="[Text]" custT="1"/>
      <dgm:spPr>
        <a:solidFill>
          <a:srgbClr val="7030A0">
            <a:alpha val="90000"/>
          </a:srgbClr>
        </a:solidFill>
        <a:ln>
          <a:solidFill>
            <a:schemeClr val="tx1">
              <a:alpha val="90000"/>
            </a:schemeClr>
          </a:solidFill>
        </a:ln>
      </dgm:spPr>
      <dgm:t>
        <a:bodyPr/>
        <a:lstStyle/>
        <a:p>
          <a:r>
            <a:rPr lang="en-GB" sz="1200" b="1">
              <a:solidFill>
                <a:schemeClr val="bg1"/>
              </a:solidFill>
              <a:latin typeface="Arial" panose="020B0604020202020204" pitchFamily="34" charset="0"/>
              <a:cs typeface="Arial" panose="020B0604020202020204" pitchFamily="34" charset="0"/>
            </a:rPr>
            <a:t>The standstill period ends at midnight at the end of the 8th working day after the standstill period began and the relevant authority may award the contract, or conclude the framework agreement with the selected provider(s).</a:t>
          </a:r>
        </a:p>
      </dgm:t>
    </dgm:pt>
    <dgm:pt modelId="{535BFA88-26A4-4E5A-9504-AB817F7EAB1A}" type="parTrans" cxnId="{F0E25975-A2DA-404F-B377-7C4DB1B3AA35}">
      <dgm:prSet/>
      <dgm:spPr/>
      <dgm:t>
        <a:bodyPr/>
        <a:lstStyle/>
        <a:p>
          <a:endParaRPr lang="en-GB"/>
        </a:p>
      </dgm:t>
    </dgm:pt>
    <dgm:pt modelId="{D3EDBA73-6670-44E0-9231-3C6B45F8EFED}" type="sibTrans" cxnId="{F0E25975-A2DA-404F-B377-7C4DB1B3AA35}">
      <dgm:prSet/>
      <dgm:spPr>
        <a:solidFill>
          <a:schemeClr val="bg1"/>
        </a:solidFill>
      </dgm:spPr>
      <dgm:t>
        <a:bodyPr/>
        <a:lstStyle/>
        <a:p>
          <a:endParaRPr lang="en-GB"/>
        </a:p>
      </dgm:t>
    </dgm:pt>
    <dgm:pt modelId="{19B602BC-12EF-4134-B0AC-3FFFFA357FD4}">
      <dgm:prSet phldrT="[Text]" custT="1"/>
      <dgm:spPr>
        <a:solidFill>
          <a:srgbClr val="7030A0">
            <a:alpha val="90000"/>
          </a:srgbClr>
        </a:solidFill>
        <a:ln>
          <a:solidFill>
            <a:schemeClr val="tx1">
              <a:alpha val="90000"/>
            </a:schemeClr>
          </a:solidFill>
        </a:ln>
      </dgm:spPr>
      <dgm:t>
        <a:bodyPr/>
        <a:lstStyle/>
        <a:p>
          <a:r>
            <a:rPr lang="en-GB" sz="1200" b="1">
              <a:solidFill>
                <a:schemeClr val="bg1"/>
              </a:solidFill>
              <a:latin typeface="Arial" panose="020B0604020202020204" pitchFamily="34" charset="0"/>
              <a:cs typeface="Arial" panose="020B0604020202020204" pitchFamily="34" charset="0"/>
            </a:rPr>
            <a:t>Further and subsequent decisions that a relevant authority can make - </a:t>
          </a:r>
        </a:p>
        <a:p>
          <a:r>
            <a:rPr lang="en-GB" sz="1200" b="1">
              <a:solidFill>
                <a:schemeClr val="bg1"/>
              </a:solidFill>
              <a:latin typeface="Arial" panose="020B0604020202020204" pitchFamily="34" charset="0"/>
              <a:cs typeface="Arial" panose="020B0604020202020204" pitchFamily="34" charset="0"/>
            </a:rPr>
            <a:t>1. continue to the original decision. </a:t>
          </a:r>
        </a:p>
        <a:p>
          <a:r>
            <a:rPr lang="en-GB" sz="1200" b="1">
              <a:solidFill>
                <a:schemeClr val="bg1"/>
              </a:solidFill>
              <a:latin typeface="Arial" panose="020B0604020202020204" pitchFamily="34" charset="0"/>
              <a:cs typeface="Arial" panose="020B0604020202020204" pitchFamily="34" charset="0"/>
            </a:rPr>
            <a:t>2. return to an earlier step in the process. </a:t>
          </a:r>
        </a:p>
        <a:p>
          <a:r>
            <a:rPr lang="en-GB" sz="1200" b="1">
              <a:solidFill>
                <a:schemeClr val="bg1"/>
              </a:solidFill>
              <a:latin typeface="Arial" panose="020B0604020202020204" pitchFamily="34" charset="0"/>
              <a:cs typeface="Arial" panose="020B0604020202020204" pitchFamily="34" charset="0"/>
            </a:rPr>
            <a:t>3. abandon the procurement process.</a:t>
          </a:r>
        </a:p>
      </dgm:t>
    </dgm:pt>
    <dgm:pt modelId="{0352E8CE-8E9E-45A7-971F-3C30AA45C32C}" type="parTrans" cxnId="{C5595264-7468-449D-8E41-59A2027D6C3B}">
      <dgm:prSet/>
      <dgm:spPr/>
      <dgm:t>
        <a:bodyPr/>
        <a:lstStyle/>
        <a:p>
          <a:endParaRPr lang="en-GB"/>
        </a:p>
      </dgm:t>
    </dgm:pt>
    <dgm:pt modelId="{423013A3-8F18-4343-99B8-A626D846B56B}" type="sibTrans" cxnId="{C5595264-7468-449D-8E41-59A2027D6C3B}">
      <dgm:prSet/>
      <dgm:spPr>
        <a:solidFill>
          <a:schemeClr val="bg1"/>
        </a:solidFill>
      </dgm:spPr>
      <dgm:t>
        <a:bodyPr/>
        <a:lstStyle/>
        <a:p>
          <a:endParaRPr lang="en-GB"/>
        </a:p>
      </dgm:t>
    </dgm:pt>
    <dgm:pt modelId="{4E6440B8-46CE-4D7A-AEF0-214920339A95}">
      <dgm:prSet phldrT="[Text]" custT="1"/>
      <dgm:spPr>
        <a:solidFill>
          <a:srgbClr val="00B050">
            <a:alpha val="90000"/>
          </a:srgbClr>
        </a:solidFill>
        <a:ln>
          <a:solidFill>
            <a:schemeClr val="tx1">
              <a:alpha val="90000"/>
            </a:schemeClr>
          </a:solidFill>
        </a:ln>
      </dgm:spPr>
      <dgm:t>
        <a:bodyPr/>
        <a:lstStyle/>
        <a:p>
          <a:r>
            <a:rPr lang="en-GB" sz="1200" b="0">
              <a:solidFill>
                <a:sysClr val="windowText" lastClr="000000"/>
              </a:solidFill>
              <a:latin typeface="Arial" panose="020B0604020202020204" pitchFamily="34" charset="0"/>
              <a:cs typeface="Arial" panose="020B0604020202020204" pitchFamily="34" charset="0"/>
            </a:rPr>
            <a:t>If the provider remains unsatisfied, they may escalate their representation to the Wales Procurement Review Unit </a:t>
          </a:r>
        </a:p>
        <a:p>
          <a:r>
            <a:rPr lang="en-GB" sz="1200" b="0">
              <a:solidFill>
                <a:sysClr val="windowText" lastClr="000000"/>
              </a:solidFill>
              <a:latin typeface="Arial" panose="020B0604020202020204" pitchFamily="34" charset="0"/>
              <a:cs typeface="Arial" panose="020B0604020202020204" pitchFamily="34" charset="0"/>
            </a:rPr>
            <a:t>(Wales PRU)</a:t>
          </a:r>
        </a:p>
      </dgm:t>
    </dgm:pt>
    <dgm:pt modelId="{94896F94-0A56-40E7-A50B-23730B93460F}" type="parTrans" cxnId="{7E4F1D11-51F1-4C40-A0F3-5C0590B95277}">
      <dgm:prSet/>
      <dgm:spPr/>
      <dgm:t>
        <a:bodyPr/>
        <a:lstStyle/>
        <a:p>
          <a:endParaRPr lang="en-GB"/>
        </a:p>
      </dgm:t>
    </dgm:pt>
    <dgm:pt modelId="{461624B2-961B-458D-8D3A-1649F9E6396E}" type="sibTrans" cxnId="{7E4F1D11-51F1-4C40-A0F3-5C0590B95277}">
      <dgm:prSet/>
      <dgm:spPr/>
      <dgm:t>
        <a:bodyPr/>
        <a:lstStyle/>
        <a:p>
          <a:endParaRPr lang="en-GB"/>
        </a:p>
      </dgm:t>
    </dgm:pt>
    <dgm:pt modelId="{DE00A7EA-EACD-40A4-A302-094684494A5B}">
      <dgm:prSet phldrT="[Text]" custT="1"/>
      <dgm:spPr>
        <a:solidFill>
          <a:srgbClr val="00B050">
            <a:alpha val="90000"/>
          </a:srgbClr>
        </a:solidFill>
        <a:ln>
          <a:solidFill>
            <a:schemeClr val="tx1">
              <a:alpha val="90000"/>
            </a:schemeClr>
          </a:solidFill>
        </a:ln>
      </dgm:spPr>
      <dgm:t>
        <a:bodyPr/>
        <a:lstStyle/>
        <a:p>
          <a:r>
            <a:rPr lang="en-GB" sz="1200" b="0">
              <a:solidFill>
                <a:sysClr val="windowText" lastClr="000000"/>
              </a:solidFill>
              <a:latin typeface="Arial" panose="020B0604020202020204" pitchFamily="34" charset="0"/>
              <a:cs typeface="Arial" panose="020B0604020202020204" pitchFamily="34" charset="0"/>
            </a:rPr>
            <a:t>Where the Wales PRU accepts the representations made by a provider(s), the relevant authority should not end the standstill period until the Wales PRU has reviewed the representations and provided advice to the relevant authority, unless there are exceptional circumstances that necessitate the prompt award of a contract or conclusion of a framework agreement.</a:t>
          </a:r>
        </a:p>
      </dgm:t>
    </dgm:pt>
    <dgm:pt modelId="{0E52453F-4B10-4F20-AF9C-80BBE5127C5C}" type="parTrans" cxnId="{9CA6F26B-DFE0-443E-9A42-5B96535C43BA}">
      <dgm:prSet/>
      <dgm:spPr/>
      <dgm:t>
        <a:bodyPr/>
        <a:lstStyle/>
        <a:p>
          <a:endParaRPr lang="en-GB"/>
        </a:p>
      </dgm:t>
    </dgm:pt>
    <dgm:pt modelId="{7822EA8D-3D56-4BDB-ADF7-5AB49150E4CA}" type="sibTrans" cxnId="{9CA6F26B-DFE0-443E-9A42-5B96535C43BA}">
      <dgm:prSet/>
      <dgm:spPr/>
      <dgm:t>
        <a:bodyPr/>
        <a:lstStyle/>
        <a:p>
          <a:endParaRPr lang="en-GB"/>
        </a:p>
      </dgm:t>
    </dgm:pt>
    <dgm:pt modelId="{33DA5F95-F3FF-49EE-A474-372787DE16AC}">
      <dgm:prSet phldrT="[Text]" custT="1"/>
      <dgm:spPr>
        <a:solidFill>
          <a:srgbClr val="00B050">
            <a:alpha val="90000"/>
          </a:srgbClr>
        </a:solidFill>
        <a:ln>
          <a:solidFill>
            <a:schemeClr val="tx1">
              <a:alpha val="90000"/>
            </a:schemeClr>
          </a:solidFill>
        </a:ln>
      </dgm:spPr>
      <dgm:t>
        <a:bodyPr/>
        <a:lstStyle/>
        <a:p>
          <a:r>
            <a:rPr lang="en-GB" sz="1200" b="0">
              <a:solidFill>
                <a:sysClr val="windowText" lastClr="000000"/>
              </a:solidFill>
              <a:latin typeface="Arial" panose="020B0604020202020204" pitchFamily="34" charset="0"/>
              <a:cs typeface="Arial" panose="020B0604020202020204" pitchFamily="34" charset="0"/>
            </a:rPr>
            <a:t>The relevant authority should consider the advice provided by the Wales PRU and consider whether it would be appropriate to make a subsequent further decision.</a:t>
          </a:r>
        </a:p>
      </dgm:t>
    </dgm:pt>
    <dgm:pt modelId="{34791D35-3761-45BB-A4BE-5A802144D4FD}" type="parTrans" cxnId="{30407F40-A329-4A9C-9C2C-A26315D90234}">
      <dgm:prSet/>
      <dgm:spPr/>
      <dgm:t>
        <a:bodyPr/>
        <a:lstStyle/>
        <a:p>
          <a:endParaRPr lang="en-GB"/>
        </a:p>
      </dgm:t>
    </dgm:pt>
    <dgm:pt modelId="{F2871914-5C2C-45CE-80CD-2DEABEEAE2AA}" type="sibTrans" cxnId="{30407F40-A329-4A9C-9C2C-A26315D90234}">
      <dgm:prSet/>
      <dgm:spPr/>
      <dgm:t>
        <a:bodyPr/>
        <a:lstStyle/>
        <a:p>
          <a:endParaRPr lang="en-GB"/>
        </a:p>
      </dgm:t>
    </dgm:pt>
    <dgm:pt modelId="{6FF9DE4E-A719-4713-A65C-1CC9A5D1DD52}">
      <dgm:prSet custT="1"/>
      <dgm:spPr>
        <a:solidFill>
          <a:srgbClr val="7030A0">
            <a:alpha val="90000"/>
          </a:srgbClr>
        </a:solidFill>
        <a:ln>
          <a:solidFill>
            <a:schemeClr val="tx1">
              <a:alpha val="90000"/>
            </a:schemeClr>
          </a:solidFill>
        </a:ln>
      </dgm:spPr>
      <dgm:t>
        <a:bodyPr/>
        <a:lstStyle/>
        <a:p>
          <a:r>
            <a:rPr lang="en-GB" sz="1200" b="1">
              <a:solidFill>
                <a:schemeClr val="bg1"/>
              </a:solidFill>
              <a:latin typeface="Arial" panose="020B0604020202020204" pitchFamily="34" charset="0"/>
              <a:cs typeface="Arial" panose="020B0604020202020204" pitchFamily="34" charset="0"/>
            </a:rPr>
            <a:t>The relevant authority must consider the representations and review their original decision</a:t>
          </a:r>
        </a:p>
      </dgm:t>
    </dgm:pt>
    <dgm:pt modelId="{0A4F01FC-3A4D-4255-8EFD-562A5C57F7FC}" type="parTrans" cxnId="{E80F7B03-5C76-47E3-8C61-0851561A6040}">
      <dgm:prSet/>
      <dgm:spPr/>
      <dgm:t>
        <a:bodyPr/>
        <a:lstStyle/>
        <a:p>
          <a:endParaRPr lang="en-GB"/>
        </a:p>
      </dgm:t>
    </dgm:pt>
    <dgm:pt modelId="{FBC4C6D4-A0B4-475E-9452-D44804422663}" type="sibTrans" cxnId="{E80F7B03-5C76-47E3-8C61-0851561A6040}">
      <dgm:prSet/>
      <dgm:spPr/>
      <dgm:t>
        <a:bodyPr/>
        <a:lstStyle/>
        <a:p>
          <a:endParaRPr lang="en-GB"/>
        </a:p>
      </dgm:t>
    </dgm:pt>
    <dgm:pt modelId="{856BF43A-10F1-4279-8837-05D16DEB6794}" type="pres">
      <dgm:prSet presAssocID="{DF2D6DA4-0BA9-4D62-86EE-DD93D2FA5EF6}" presName="Name0" presStyleCnt="0">
        <dgm:presLayoutVars>
          <dgm:dir/>
          <dgm:animLvl val="lvl"/>
          <dgm:resizeHandles val="exact"/>
        </dgm:presLayoutVars>
      </dgm:prSet>
      <dgm:spPr/>
    </dgm:pt>
    <dgm:pt modelId="{4B699301-499A-499D-87BF-74D1C8083996}" type="pres">
      <dgm:prSet presAssocID="{2DA36E5C-2328-41F2-8BB9-FEB18B03B502}" presName="vertFlow" presStyleCnt="0"/>
      <dgm:spPr/>
    </dgm:pt>
    <dgm:pt modelId="{1E157E8E-31E5-4455-AFFC-F6C9ECDFBF9D}" type="pres">
      <dgm:prSet presAssocID="{2DA36E5C-2328-41F2-8BB9-FEB18B03B502}" presName="header" presStyleLbl="node1" presStyleIdx="0" presStyleCnt="2" custScaleY="76003" custLinFactNeighborX="-112" custLinFactNeighborY="-64097"/>
      <dgm:spPr/>
    </dgm:pt>
    <dgm:pt modelId="{D2CA3630-FC00-4A65-8992-A49613EAC8B1}" type="pres">
      <dgm:prSet presAssocID="{0F928B4F-2D6C-482B-B567-CDAC3949BA4D}" presName="parTrans" presStyleLbl="sibTrans2D1" presStyleIdx="0" presStyleCnt="13" custLinFactNeighborX="-3721" custLinFactNeighborY="-38320"/>
      <dgm:spPr/>
    </dgm:pt>
    <dgm:pt modelId="{01A95A84-A5EC-4164-A18B-60975530B1E5}" type="pres">
      <dgm:prSet presAssocID="{C2A3206E-0DD0-4745-9ADB-31426CF45C87}" presName="child" presStyleLbl="alignAccFollowNode1" presStyleIdx="0" presStyleCnt="13" custScaleX="100050" custScaleY="75393" custLinFactNeighborX="229" custLinFactNeighborY="-59760">
        <dgm:presLayoutVars>
          <dgm:chMax val="0"/>
          <dgm:bulletEnabled val="1"/>
        </dgm:presLayoutVars>
      </dgm:prSet>
      <dgm:spPr/>
    </dgm:pt>
    <dgm:pt modelId="{DCEDB8DD-155D-41DA-969F-89DD922B8CA1}" type="pres">
      <dgm:prSet presAssocID="{9211121A-A251-4D79-9928-FA59604A1F36}" presName="sibTrans" presStyleLbl="sibTrans2D1" presStyleIdx="1" presStyleCnt="13" custScaleX="178723" custScaleY="118821" custLinFactNeighborX="-2846" custLinFactNeighborY="14369"/>
      <dgm:spPr/>
    </dgm:pt>
    <dgm:pt modelId="{5A504C4B-84DF-4448-910C-BA510BFD4FC5}" type="pres">
      <dgm:prSet presAssocID="{6FF9DE4E-A719-4713-A65C-1CC9A5D1DD52}" presName="child" presStyleLbl="alignAccFollowNode1" presStyleIdx="1" presStyleCnt="13" custScaleY="59142" custLinFactNeighborX="-108" custLinFactNeighborY="-54078">
        <dgm:presLayoutVars>
          <dgm:chMax val="0"/>
          <dgm:bulletEnabled val="1"/>
        </dgm:presLayoutVars>
      </dgm:prSet>
      <dgm:spPr/>
    </dgm:pt>
    <dgm:pt modelId="{EEA69915-9C36-44A8-9274-727D0D4BDFA4}" type="pres">
      <dgm:prSet presAssocID="{FBC4C6D4-A0B4-475E-9452-D44804422663}" presName="sibTrans" presStyleLbl="sibTrans2D1" presStyleIdx="2" presStyleCnt="13" custScaleX="144464" custScaleY="108235"/>
      <dgm:spPr/>
    </dgm:pt>
    <dgm:pt modelId="{6FC0CC51-0036-4C20-A02D-39E7C1DEE40F}" type="pres">
      <dgm:prSet presAssocID="{5E4D40CD-2D15-4710-A886-9256147A5050}" presName="child" presStyleLbl="alignAccFollowNode1" presStyleIdx="2" presStyleCnt="13" custScaleY="41133" custLinFactNeighborX="393" custLinFactNeighborY="-41876">
        <dgm:presLayoutVars>
          <dgm:chMax val="0"/>
          <dgm:bulletEnabled val="1"/>
        </dgm:presLayoutVars>
      </dgm:prSet>
      <dgm:spPr/>
    </dgm:pt>
    <dgm:pt modelId="{F10408F4-8A90-4D3F-8707-B0DB66E2AF03}" type="pres">
      <dgm:prSet presAssocID="{32A5453A-C342-4516-8EB7-848A89BC45D2}" presName="sibTrans" presStyleLbl="sibTrans2D1" presStyleIdx="3" presStyleCnt="13" custScaleX="233972" custScaleY="86109"/>
      <dgm:spPr/>
    </dgm:pt>
    <dgm:pt modelId="{7ADFE0DD-7C6B-4393-A0E6-9F170B15DC2A}" type="pres">
      <dgm:prSet presAssocID="{44D22DAB-5EAF-4298-8C0B-FD191E0703E7}" presName="child" presStyleLbl="alignAccFollowNode1" presStyleIdx="3" presStyleCnt="13" custScaleY="47907" custLinFactNeighborX="-96" custLinFactNeighborY="-58332">
        <dgm:presLayoutVars>
          <dgm:chMax val="0"/>
          <dgm:bulletEnabled val="1"/>
        </dgm:presLayoutVars>
      </dgm:prSet>
      <dgm:spPr/>
    </dgm:pt>
    <dgm:pt modelId="{C9EBFA82-B038-450F-A49E-40FF853930EC}" type="pres">
      <dgm:prSet presAssocID="{5DDFB29F-6E7A-4608-A266-71E99F840948}" presName="sibTrans" presStyleLbl="sibTrans2D1" presStyleIdx="4" presStyleCnt="13"/>
      <dgm:spPr/>
    </dgm:pt>
    <dgm:pt modelId="{6582448A-ADD2-4E3C-9452-83794F850237}" type="pres">
      <dgm:prSet presAssocID="{BA056E9A-4088-4EBD-A86C-E764DDA4DD48}" presName="child" presStyleLbl="alignAccFollowNode1" presStyleIdx="4" presStyleCnt="13" custScaleY="63368" custLinFactNeighborX="-96" custLinFactNeighborY="-61763">
        <dgm:presLayoutVars>
          <dgm:chMax val="0"/>
          <dgm:bulletEnabled val="1"/>
        </dgm:presLayoutVars>
      </dgm:prSet>
      <dgm:spPr/>
    </dgm:pt>
    <dgm:pt modelId="{1FFCC7C8-318D-4B87-B832-8B4AEC98343C}" type="pres">
      <dgm:prSet presAssocID="{B580BC8C-8652-4F97-95BD-F8A463359BDF}" presName="sibTrans" presStyleLbl="sibTrans2D1" presStyleIdx="5" presStyleCnt="13"/>
      <dgm:spPr/>
    </dgm:pt>
    <dgm:pt modelId="{638CB794-778F-4F0C-82D6-CCA1155D700B}" type="pres">
      <dgm:prSet presAssocID="{3B3B702E-614C-4DFC-A1B1-2CE9A9B2E9B0}" presName="child" presStyleLbl="alignAccFollowNode1" presStyleIdx="5" presStyleCnt="13" custScaleY="117760" custLinFactNeighborX="-96" custLinFactNeighborY="-44607">
        <dgm:presLayoutVars>
          <dgm:chMax val="0"/>
          <dgm:bulletEnabled val="1"/>
        </dgm:presLayoutVars>
      </dgm:prSet>
      <dgm:spPr/>
    </dgm:pt>
    <dgm:pt modelId="{42A0AAEF-4373-4BDA-BC71-2DA0F5C1F82F}" type="pres">
      <dgm:prSet presAssocID="{3E2738D4-E514-440E-A365-CC2AA1109D32}" presName="sibTrans" presStyleLbl="sibTrans2D1" presStyleIdx="6" presStyleCnt="13" custAng="10784887"/>
      <dgm:spPr/>
    </dgm:pt>
    <dgm:pt modelId="{F85D1BD8-DEEF-4C99-878F-7AA4D5DF25B3}" type="pres">
      <dgm:prSet presAssocID="{C5E9DACE-D07A-410D-94CC-71D2736E2960}" presName="child" presStyleLbl="alignAccFollowNode1" presStyleIdx="6" presStyleCnt="13" custScaleX="97550" custScaleY="89634" custLinFactNeighborX="-259" custLinFactNeighborY="-17156">
        <dgm:presLayoutVars>
          <dgm:chMax val="0"/>
          <dgm:bulletEnabled val="1"/>
        </dgm:presLayoutVars>
      </dgm:prSet>
      <dgm:spPr/>
    </dgm:pt>
    <dgm:pt modelId="{6189D2FE-1EEE-475A-A831-2C7B75AFAE28}" type="pres">
      <dgm:prSet presAssocID="{3B0F54B0-FE72-4FFB-BCA5-56C59FADBF79}" presName="sibTrans" presStyleLbl="sibTrans2D1" presStyleIdx="7" presStyleCnt="13" custAng="10814772"/>
      <dgm:spPr/>
    </dgm:pt>
    <dgm:pt modelId="{0FB0E705-B670-4D5D-AE7F-F9D8F5FAC342}" type="pres">
      <dgm:prSet presAssocID="{9E10927B-F5A4-4E46-B812-46140F0CDC75}" presName="child" presStyleLbl="alignAccFollowNode1" presStyleIdx="7" presStyleCnt="13" custLinFactNeighborX="-108" custLinFactNeighborY="13686">
        <dgm:presLayoutVars>
          <dgm:chMax val="0"/>
          <dgm:bulletEnabled val="1"/>
        </dgm:presLayoutVars>
      </dgm:prSet>
      <dgm:spPr/>
    </dgm:pt>
    <dgm:pt modelId="{E34E9EC3-8B37-439D-B96B-5D432B106981}" type="pres">
      <dgm:prSet presAssocID="{2DA36E5C-2328-41F2-8BB9-FEB18B03B502}" presName="hSp" presStyleCnt="0"/>
      <dgm:spPr/>
    </dgm:pt>
    <dgm:pt modelId="{DD674C08-3422-4106-9F72-8576406E6FB9}" type="pres">
      <dgm:prSet presAssocID="{9CB35827-CC5F-4561-B619-644A5269673F}" presName="vertFlow" presStyleCnt="0"/>
      <dgm:spPr/>
    </dgm:pt>
    <dgm:pt modelId="{CDBB358B-FD29-4433-9B79-3E859FBA7D12}" type="pres">
      <dgm:prSet presAssocID="{9CB35827-CC5F-4561-B619-644A5269673F}" presName="header" presStyleLbl="node1" presStyleIdx="1" presStyleCnt="2" custLinFactNeighborX="83" custLinFactNeighborY="-51084"/>
      <dgm:spPr/>
    </dgm:pt>
    <dgm:pt modelId="{16AF0EC3-C09C-4FB1-AB88-B26CBCCF1CCC}" type="pres">
      <dgm:prSet presAssocID="{535BFA88-26A4-4E5A-9504-AB817F7EAB1A}" presName="parTrans" presStyleLbl="sibTrans2D1" presStyleIdx="8" presStyleCnt="13"/>
      <dgm:spPr/>
    </dgm:pt>
    <dgm:pt modelId="{0EE5F80D-2AAA-4C0E-B5C2-6235FBB14D3E}" type="pres">
      <dgm:prSet presAssocID="{B2287F8B-06C5-4C7B-8B28-CBC9F592A5C0}" presName="child" presStyleLbl="alignAccFollowNode1" presStyleIdx="8" presStyleCnt="13">
        <dgm:presLayoutVars>
          <dgm:chMax val="0"/>
          <dgm:bulletEnabled val="1"/>
        </dgm:presLayoutVars>
      </dgm:prSet>
      <dgm:spPr/>
    </dgm:pt>
    <dgm:pt modelId="{701C8B31-198C-48E9-BE3A-F078614E40E5}" type="pres">
      <dgm:prSet presAssocID="{D3EDBA73-6670-44E0-9231-3C6B45F8EFED}" presName="sibTrans" presStyleLbl="sibTrans2D1" presStyleIdx="9" presStyleCnt="13"/>
      <dgm:spPr/>
    </dgm:pt>
    <dgm:pt modelId="{8BDCCCAC-EF1F-4CF1-8155-0D3097797A29}" type="pres">
      <dgm:prSet presAssocID="{19B602BC-12EF-4134-B0AC-3FFFFA357FD4}" presName="child" presStyleLbl="alignAccFollowNode1" presStyleIdx="9" presStyleCnt="13" custLinFactNeighborX="83" custLinFactNeighborY="38320">
        <dgm:presLayoutVars>
          <dgm:chMax val="0"/>
          <dgm:bulletEnabled val="1"/>
        </dgm:presLayoutVars>
      </dgm:prSet>
      <dgm:spPr/>
    </dgm:pt>
    <dgm:pt modelId="{BD8BC3A2-1AE8-46C8-BEDF-022772638E4B}" type="pres">
      <dgm:prSet presAssocID="{423013A3-8F18-4343-99B8-A626D846B56B}" presName="sibTrans" presStyleLbl="sibTrans2D1" presStyleIdx="10" presStyleCnt="13"/>
      <dgm:spPr/>
    </dgm:pt>
    <dgm:pt modelId="{41373A2A-507B-452C-B18A-6E7893A034EA}" type="pres">
      <dgm:prSet presAssocID="{4E6440B8-46CE-4D7A-AEF0-214920339A95}" presName="child" presStyleLbl="alignAccFollowNode1" presStyleIdx="10" presStyleCnt="13" custScaleY="139326" custLinFactNeighborX="-419" custLinFactNeighborY="67060">
        <dgm:presLayoutVars>
          <dgm:chMax val="0"/>
          <dgm:bulletEnabled val="1"/>
        </dgm:presLayoutVars>
      </dgm:prSet>
      <dgm:spPr/>
    </dgm:pt>
    <dgm:pt modelId="{0CC2C95B-5A39-423C-8E54-98B82054BB6B}" type="pres">
      <dgm:prSet presAssocID="{461624B2-961B-458D-8D3A-1649F9E6396E}" presName="sibTrans" presStyleLbl="sibTrans2D1" presStyleIdx="11" presStyleCnt="13"/>
      <dgm:spPr/>
    </dgm:pt>
    <dgm:pt modelId="{EAEB283A-3B9C-44D5-B5B4-4A0AF71FC2FD}" type="pres">
      <dgm:prSet presAssocID="{DE00A7EA-EACD-40A4-A302-094684494A5B}" presName="child" presStyleLbl="alignAccFollowNode1" presStyleIdx="11" presStyleCnt="13" custScaleY="159825" custLinFactY="20773" custLinFactNeighborX="921" custLinFactNeighborY="100000">
        <dgm:presLayoutVars>
          <dgm:chMax val="0"/>
          <dgm:bulletEnabled val="1"/>
        </dgm:presLayoutVars>
      </dgm:prSet>
      <dgm:spPr/>
    </dgm:pt>
    <dgm:pt modelId="{241650B1-9D7C-419F-A563-D5DF82608081}" type="pres">
      <dgm:prSet presAssocID="{7822EA8D-3D56-4BDB-ADF7-5AB49150E4CA}" presName="sibTrans" presStyleLbl="sibTrans2D1" presStyleIdx="12" presStyleCnt="13" custAng="21425202" custScaleX="61558" custScaleY="119551" custLinFactNeighborX="-1738" custLinFactNeighborY="-28740"/>
      <dgm:spPr/>
    </dgm:pt>
    <dgm:pt modelId="{706B0AFE-8699-4C95-994B-473B93877E85}" type="pres">
      <dgm:prSet presAssocID="{33DA5F95-F3FF-49EE-A474-372787DE16AC}" presName="child" presStyleLbl="alignAccFollowNode1" presStyleIdx="12" presStyleCnt="13" custLinFactY="50024" custLinFactNeighborX="-2994" custLinFactNeighborY="100000">
        <dgm:presLayoutVars>
          <dgm:chMax val="0"/>
          <dgm:bulletEnabled val="1"/>
        </dgm:presLayoutVars>
      </dgm:prSet>
      <dgm:spPr/>
    </dgm:pt>
  </dgm:ptLst>
  <dgm:cxnLst>
    <dgm:cxn modelId="{1D89EA00-14A2-4C85-8CA3-9A284D5CC5A9}" type="presOf" srcId="{461624B2-961B-458D-8D3A-1649F9E6396E}" destId="{0CC2C95B-5A39-423C-8E54-98B82054BB6B}" srcOrd="0" destOrd="0" presId="urn:microsoft.com/office/officeart/2005/8/layout/lProcess1"/>
    <dgm:cxn modelId="{E80F7B03-5C76-47E3-8C61-0851561A6040}" srcId="{2DA36E5C-2328-41F2-8BB9-FEB18B03B502}" destId="{6FF9DE4E-A719-4713-A65C-1CC9A5D1DD52}" srcOrd="1" destOrd="0" parTransId="{0A4F01FC-3A4D-4255-8EFD-562A5C57F7FC}" sibTransId="{FBC4C6D4-A0B4-475E-9452-D44804422663}"/>
    <dgm:cxn modelId="{F9258B07-BBFA-4FC2-9E27-3421B6012100}" type="presOf" srcId="{DF2D6DA4-0BA9-4D62-86EE-DD93D2FA5EF6}" destId="{856BF43A-10F1-4279-8837-05D16DEB6794}" srcOrd="0" destOrd="0" presId="urn:microsoft.com/office/officeart/2005/8/layout/lProcess1"/>
    <dgm:cxn modelId="{5DCAEF0C-5FC1-4B87-A29D-532ABCDF0A49}" srcId="{2DA36E5C-2328-41F2-8BB9-FEB18B03B502}" destId="{BA056E9A-4088-4EBD-A86C-E764DDA4DD48}" srcOrd="4" destOrd="0" parTransId="{CEE80800-83F3-40C4-8657-7D0E84B6C0F2}" sibTransId="{B580BC8C-8652-4F97-95BD-F8A463359BDF}"/>
    <dgm:cxn modelId="{7E4F1D11-51F1-4C40-A0F3-5C0590B95277}" srcId="{9CB35827-CC5F-4561-B619-644A5269673F}" destId="{4E6440B8-46CE-4D7A-AEF0-214920339A95}" srcOrd="2" destOrd="0" parTransId="{94896F94-0A56-40E7-A50B-23730B93460F}" sibTransId="{461624B2-961B-458D-8D3A-1649F9E6396E}"/>
    <dgm:cxn modelId="{B6022512-CCD0-4824-BA10-188717D29D34}" type="presOf" srcId="{C5E9DACE-D07A-410D-94CC-71D2736E2960}" destId="{F85D1BD8-DEEF-4C99-878F-7AA4D5DF25B3}" srcOrd="0" destOrd="0" presId="urn:microsoft.com/office/officeart/2005/8/layout/lProcess1"/>
    <dgm:cxn modelId="{63537F19-40DE-4021-A62E-E68AB022279B}" type="presOf" srcId="{B2287F8B-06C5-4C7B-8B28-CBC9F592A5C0}" destId="{0EE5F80D-2AAA-4C0E-B5C2-6235FBB14D3E}" srcOrd="0" destOrd="0" presId="urn:microsoft.com/office/officeart/2005/8/layout/lProcess1"/>
    <dgm:cxn modelId="{9752CE21-9C73-4C6F-8A33-419EA77EF999}" type="presOf" srcId="{BA056E9A-4088-4EBD-A86C-E764DDA4DD48}" destId="{6582448A-ADD2-4E3C-9452-83794F850237}" srcOrd="0" destOrd="0" presId="urn:microsoft.com/office/officeart/2005/8/layout/lProcess1"/>
    <dgm:cxn modelId="{EFCDBC2B-2D43-4899-9878-2022874F34D0}" srcId="{2DA36E5C-2328-41F2-8BB9-FEB18B03B502}" destId="{C2A3206E-0DD0-4745-9ADB-31426CF45C87}" srcOrd="0" destOrd="0" parTransId="{0F928B4F-2D6C-482B-B567-CDAC3949BA4D}" sibTransId="{9211121A-A251-4D79-9928-FA59604A1F36}"/>
    <dgm:cxn modelId="{7EA5E431-4B8A-4E94-A172-955AE052B462}" type="presOf" srcId="{4E6440B8-46CE-4D7A-AEF0-214920339A95}" destId="{41373A2A-507B-452C-B18A-6E7893A034EA}" srcOrd="0" destOrd="0" presId="urn:microsoft.com/office/officeart/2005/8/layout/lProcess1"/>
    <dgm:cxn modelId="{337CDB39-16A6-4249-BF30-CF3ABFB5D799}" type="presOf" srcId="{32A5453A-C342-4516-8EB7-848A89BC45D2}" destId="{F10408F4-8A90-4D3F-8707-B0DB66E2AF03}" srcOrd="0" destOrd="0" presId="urn:microsoft.com/office/officeart/2005/8/layout/lProcess1"/>
    <dgm:cxn modelId="{30407F40-A329-4A9C-9C2C-A26315D90234}" srcId="{9CB35827-CC5F-4561-B619-644A5269673F}" destId="{33DA5F95-F3FF-49EE-A474-372787DE16AC}" srcOrd="4" destOrd="0" parTransId="{34791D35-3761-45BB-A4BE-5A802144D4FD}" sibTransId="{F2871914-5C2C-45CE-80CD-2DEABEEAE2AA}"/>
    <dgm:cxn modelId="{C7EF3860-6928-4C28-B417-2830C212A7A0}" type="presOf" srcId="{5E4D40CD-2D15-4710-A886-9256147A5050}" destId="{6FC0CC51-0036-4C20-A02D-39E7C1DEE40F}" srcOrd="0" destOrd="0" presId="urn:microsoft.com/office/officeart/2005/8/layout/lProcess1"/>
    <dgm:cxn modelId="{C5595264-7468-449D-8E41-59A2027D6C3B}" srcId="{9CB35827-CC5F-4561-B619-644A5269673F}" destId="{19B602BC-12EF-4134-B0AC-3FFFFA357FD4}" srcOrd="1" destOrd="0" parTransId="{0352E8CE-8E9E-45A7-971F-3C30AA45C32C}" sibTransId="{423013A3-8F18-4343-99B8-A626D846B56B}"/>
    <dgm:cxn modelId="{1C7EC564-CCC3-473A-B5DF-89A1128197FA}" type="presOf" srcId="{44D22DAB-5EAF-4298-8C0B-FD191E0703E7}" destId="{7ADFE0DD-7C6B-4393-A0E6-9F170B15DC2A}" srcOrd="0" destOrd="0" presId="urn:microsoft.com/office/officeart/2005/8/layout/lProcess1"/>
    <dgm:cxn modelId="{9CA6F26B-DFE0-443E-9A42-5B96535C43BA}" srcId="{9CB35827-CC5F-4561-B619-644A5269673F}" destId="{DE00A7EA-EACD-40A4-A302-094684494A5B}" srcOrd="3" destOrd="0" parTransId="{0E52453F-4B10-4F20-AF9C-80BBE5127C5C}" sibTransId="{7822EA8D-3D56-4BDB-ADF7-5AB49150E4CA}"/>
    <dgm:cxn modelId="{86933E4E-5F48-4C76-A594-AD03145C2195}" type="presOf" srcId="{FBC4C6D4-A0B4-475E-9452-D44804422663}" destId="{EEA69915-9C36-44A8-9274-727D0D4BDFA4}" srcOrd="0" destOrd="0" presId="urn:microsoft.com/office/officeart/2005/8/layout/lProcess1"/>
    <dgm:cxn modelId="{99547971-AF1A-4930-8AB4-D2222374A99E}" srcId="{2DA36E5C-2328-41F2-8BB9-FEB18B03B502}" destId="{C5E9DACE-D07A-410D-94CC-71D2736E2960}" srcOrd="6" destOrd="0" parTransId="{E533A9EF-91D8-4399-B09E-22C45CC92D08}" sibTransId="{3B0F54B0-FE72-4FFB-BCA5-56C59FADBF79}"/>
    <dgm:cxn modelId="{28294C52-9FBD-46DC-8B9F-7C27D746D6D3}" type="presOf" srcId="{2DA36E5C-2328-41F2-8BB9-FEB18B03B502}" destId="{1E157E8E-31E5-4455-AFFC-F6C9ECDFBF9D}" srcOrd="0" destOrd="0" presId="urn:microsoft.com/office/officeart/2005/8/layout/lProcess1"/>
    <dgm:cxn modelId="{97B46D72-C35C-4DE2-8A0D-0A21ECA6F3D9}" srcId="{2DA36E5C-2328-41F2-8BB9-FEB18B03B502}" destId="{3B3B702E-614C-4DFC-A1B1-2CE9A9B2E9B0}" srcOrd="5" destOrd="0" parTransId="{EC63D08A-78ED-4B9B-8669-6A3D307C12CA}" sibTransId="{3E2738D4-E514-440E-A365-CC2AA1109D32}"/>
    <dgm:cxn modelId="{F0E25975-A2DA-404F-B377-7C4DB1B3AA35}" srcId="{9CB35827-CC5F-4561-B619-644A5269673F}" destId="{B2287F8B-06C5-4C7B-8B28-CBC9F592A5C0}" srcOrd="0" destOrd="0" parTransId="{535BFA88-26A4-4E5A-9504-AB817F7EAB1A}" sibTransId="{D3EDBA73-6670-44E0-9231-3C6B45F8EFED}"/>
    <dgm:cxn modelId="{AF15D676-E3B7-4114-8F72-18C4072B605D}" type="presOf" srcId="{19B602BC-12EF-4134-B0AC-3FFFFA357FD4}" destId="{8BDCCCAC-EF1F-4CF1-8155-0D3097797A29}" srcOrd="0" destOrd="0" presId="urn:microsoft.com/office/officeart/2005/8/layout/lProcess1"/>
    <dgm:cxn modelId="{9C3D4D78-723B-4A72-BA30-2E757C9B1E81}" type="presOf" srcId="{D3EDBA73-6670-44E0-9231-3C6B45F8EFED}" destId="{701C8B31-198C-48E9-BE3A-F078614E40E5}" srcOrd="0" destOrd="0" presId="urn:microsoft.com/office/officeart/2005/8/layout/lProcess1"/>
    <dgm:cxn modelId="{3F1AB759-75BB-479F-B16B-532DE6FCC990}" type="presOf" srcId="{5DDFB29F-6E7A-4608-A266-71E99F840948}" destId="{C9EBFA82-B038-450F-A49E-40FF853930EC}" srcOrd="0" destOrd="0" presId="urn:microsoft.com/office/officeart/2005/8/layout/lProcess1"/>
    <dgm:cxn modelId="{D8BD087B-CF39-4880-9C96-9428F9C3D6A6}" type="presOf" srcId="{DE00A7EA-EACD-40A4-A302-094684494A5B}" destId="{EAEB283A-3B9C-44D5-B5B4-4A0AF71FC2FD}" srcOrd="0" destOrd="0" presId="urn:microsoft.com/office/officeart/2005/8/layout/lProcess1"/>
    <dgm:cxn modelId="{E25F897E-34F0-4348-B0B2-F3A6AD0BDBC1}" type="presOf" srcId="{C2A3206E-0DD0-4745-9ADB-31426CF45C87}" destId="{01A95A84-A5EC-4164-A18B-60975530B1E5}" srcOrd="0" destOrd="0" presId="urn:microsoft.com/office/officeart/2005/8/layout/lProcess1"/>
    <dgm:cxn modelId="{30DF497F-F8EE-4FAB-B02A-0272B53DC8F1}" srcId="{2DA36E5C-2328-41F2-8BB9-FEB18B03B502}" destId="{5E4D40CD-2D15-4710-A886-9256147A5050}" srcOrd="2" destOrd="0" parTransId="{91C0A386-490D-4AB1-98A5-8610E8C8F04F}" sibTransId="{32A5453A-C342-4516-8EB7-848A89BC45D2}"/>
    <dgm:cxn modelId="{B0FF0486-CD09-4238-9A77-08DB0DC10901}" type="presOf" srcId="{535BFA88-26A4-4E5A-9504-AB817F7EAB1A}" destId="{16AF0EC3-C09C-4FB1-AB88-B26CBCCF1CCC}" srcOrd="0" destOrd="0" presId="urn:microsoft.com/office/officeart/2005/8/layout/lProcess1"/>
    <dgm:cxn modelId="{131A538E-1EE3-46A8-915D-934C7E7F1498}" type="presOf" srcId="{3B0F54B0-FE72-4FFB-BCA5-56C59FADBF79}" destId="{6189D2FE-1EEE-475A-A831-2C7B75AFAE28}" srcOrd="0" destOrd="0" presId="urn:microsoft.com/office/officeart/2005/8/layout/lProcess1"/>
    <dgm:cxn modelId="{FB5C878F-367A-4543-A1B9-EDD3A1D737F9}" type="presOf" srcId="{9211121A-A251-4D79-9928-FA59604A1F36}" destId="{DCEDB8DD-155D-41DA-969F-89DD922B8CA1}" srcOrd="0" destOrd="0" presId="urn:microsoft.com/office/officeart/2005/8/layout/lProcess1"/>
    <dgm:cxn modelId="{D1A7BC96-760C-448E-9329-1435CA05BEDF}" type="presOf" srcId="{423013A3-8F18-4343-99B8-A626D846B56B}" destId="{BD8BC3A2-1AE8-46C8-BEDF-022772638E4B}" srcOrd="0" destOrd="0" presId="urn:microsoft.com/office/officeart/2005/8/layout/lProcess1"/>
    <dgm:cxn modelId="{203B0798-81AE-4EFB-9E45-F2B61D4FA54C}" srcId="{DF2D6DA4-0BA9-4D62-86EE-DD93D2FA5EF6}" destId="{9CB35827-CC5F-4561-B619-644A5269673F}" srcOrd="1" destOrd="0" parTransId="{B5499E90-7557-40A5-84A5-A446D7204CAF}" sibTransId="{47816225-5865-475B-9F1B-4ED78B80C58D}"/>
    <dgm:cxn modelId="{6D64E8A1-6589-4069-9036-53AC35AC67C3}" srcId="{2DA36E5C-2328-41F2-8BB9-FEB18B03B502}" destId="{44D22DAB-5EAF-4298-8C0B-FD191E0703E7}" srcOrd="3" destOrd="0" parTransId="{0A1E2858-C306-495F-A4DA-801292EEB16D}" sibTransId="{5DDFB29F-6E7A-4608-A266-71E99F840948}"/>
    <dgm:cxn modelId="{055C35A5-BCB3-42EF-AA01-54B8D6050DD4}" type="presOf" srcId="{3B3B702E-614C-4DFC-A1B1-2CE9A9B2E9B0}" destId="{638CB794-778F-4F0C-82D6-CCA1155D700B}" srcOrd="0" destOrd="0" presId="urn:microsoft.com/office/officeart/2005/8/layout/lProcess1"/>
    <dgm:cxn modelId="{68C4A8A7-20A5-4170-978A-3F478E9799BD}" srcId="{2DA36E5C-2328-41F2-8BB9-FEB18B03B502}" destId="{9E10927B-F5A4-4E46-B812-46140F0CDC75}" srcOrd="7" destOrd="0" parTransId="{2C3C9C50-AF60-4AE5-B344-EAA4318C07EC}" sibTransId="{6D77D949-7BF7-4079-9928-BDACD1720AF9}"/>
    <dgm:cxn modelId="{FB55C2BC-3824-4442-9EC3-18CBE2F86A22}" type="presOf" srcId="{9CB35827-CC5F-4561-B619-644A5269673F}" destId="{CDBB358B-FD29-4433-9B79-3E859FBA7D12}" srcOrd="0" destOrd="0" presId="urn:microsoft.com/office/officeart/2005/8/layout/lProcess1"/>
    <dgm:cxn modelId="{86BACAC4-DE2A-4308-B269-416301614880}" type="presOf" srcId="{0F928B4F-2D6C-482B-B567-CDAC3949BA4D}" destId="{D2CA3630-FC00-4A65-8992-A49613EAC8B1}" srcOrd="0" destOrd="0" presId="urn:microsoft.com/office/officeart/2005/8/layout/lProcess1"/>
    <dgm:cxn modelId="{A903C4D0-666D-4F78-9702-278174883675}" srcId="{DF2D6DA4-0BA9-4D62-86EE-DD93D2FA5EF6}" destId="{2DA36E5C-2328-41F2-8BB9-FEB18B03B502}" srcOrd="0" destOrd="0" parTransId="{213DFC53-EF42-4BDB-BC7C-4534AF688BC8}" sibTransId="{D910177B-040D-4F68-8C55-72DD891975CB}"/>
    <dgm:cxn modelId="{F51FACDB-2D8F-4199-82CC-64462FA10FA4}" type="presOf" srcId="{9E10927B-F5A4-4E46-B812-46140F0CDC75}" destId="{0FB0E705-B670-4D5D-AE7F-F9D8F5FAC342}" srcOrd="0" destOrd="0" presId="urn:microsoft.com/office/officeart/2005/8/layout/lProcess1"/>
    <dgm:cxn modelId="{623B38DE-8158-492D-A0FD-6DDB1FB924E9}" type="presOf" srcId="{33DA5F95-F3FF-49EE-A474-372787DE16AC}" destId="{706B0AFE-8699-4C95-994B-473B93877E85}" srcOrd="0" destOrd="0" presId="urn:microsoft.com/office/officeart/2005/8/layout/lProcess1"/>
    <dgm:cxn modelId="{134A21E1-E5E5-49B4-AD29-C0ED5A12E4A4}" type="presOf" srcId="{6FF9DE4E-A719-4713-A65C-1CC9A5D1DD52}" destId="{5A504C4B-84DF-4448-910C-BA510BFD4FC5}" srcOrd="0" destOrd="0" presId="urn:microsoft.com/office/officeart/2005/8/layout/lProcess1"/>
    <dgm:cxn modelId="{B2C2F5EA-DE57-415E-B04E-2B8F859EAA43}" type="presOf" srcId="{B580BC8C-8652-4F97-95BD-F8A463359BDF}" destId="{1FFCC7C8-318D-4B87-B832-8B4AEC98343C}" srcOrd="0" destOrd="0" presId="urn:microsoft.com/office/officeart/2005/8/layout/lProcess1"/>
    <dgm:cxn modelId="{E80B81EB-C373-45B4-807D-2DD3DA0605F7}" type="presOf" srcId="{3E2738D4-E514-440E-A365-CC2AA1109D32}" destId="{42A0AAEF-4373-4BDA-BC71-2DA0F5C1F82F}" srcOrd="0" destOrd="0" presId="urn:microsoft.com/office/officeart/2005/8/layout/lProcess1"/>
    <dgm:cxn modelId="{0AB455FD-CB20-4D52-A53A-DE0B8BFD5EE3}" type="presOf" srcId="{7822EA8D-3D56-4BDB-ADF7-5AB49150E4CA}" destId="{241650B1-9D7C-419F-A563-D5DF82608081}" srcOrd="0" destOrd="0" presId="urn:microsoft.com/office/officeart/2005/8/layout/lProcess1"/>
    <dgm:cxn modelId="{EA37DBF3-BDAC-4207-93DE-E707AA008CF5}" type="presParOf" srcId="{856BF43A-10F1-4279-8837-05D16DEB6794}" destId="{4B699301-499A-499D-87BF-74D1C8083996}" srcOrd="0" destOrd="0" presId="urn:microsoft.com/office/officeart/2005/8/layout/lProcess1"/>
    <dgm:cxn modelId="{6D7BE8B5-0DD4-43C3-827F-200FBE894D6A}" type="presParOf" srcId="{4B699301-499A-499D-87BF-74D1C8083996}" destId="{1E157E8E-31E5-4455-AFFC-F6C9ECDFBF9D}" srcOrd="0" destOrd="0" presId="urn:microsoft.com/office/officeart/2005/8/layout/lProcess1"/>
    <dgm:cxn modelId="{39474FEF-B2C2-4E30-92EC-C23841E41B13}" type="presParOf" srcId="{4B699301-499A-499D-87BF-74D1C8083996}" destId="{D2CA3630-FC00-4A65-8992-A49613EAC8B1}" srcOrd="1" destOrd="0" presId="urn:microsoft.com/office/officeart/2005/8/layout/lProcess1"/>
    <dgm:cxn modelId="{956B82FF-758A-4219-B504-D8DB07666591}" type="presParOf" srcId="{4B699301-499A-499D-87BF-74D1C8083996}" destId="{01A95A84-A5EC-4164-A18B-60975530B1E5}" srcOrd="2" destOrd="0" presId="urn:microsoft.com/office/officeart/2005/8/layout/lProcess1"/>
    <dgm:cxn modelId="{CD058FB4-E997-4B61-88CA-C6F64F58F41E}" type="presParOf" srcId="{4B699301-499A-499D-87BF-74D1C8083996}" destId="{DCEDB8DD-155D-41DA-969F-89DD922B8CA1}" srcOrd="3" destOrd="0" presId="urn:microsoft.com/office/officeart/2005/8/layout/lProcess1"/>
    <dgm:cxn modelId="{8B6DBB38-1D99-406B-80C3-B468EF4C924D}" type="presParOf" srcId="{4B699301-499A-499D-87BF-74D1C8083996}" destId="{5A504C4B-84DF-4448-910C-BA510BFD4FC5}" srcOrd="4" destOrd="0" presId="urn:microsoft.com/office/officeart/2005/8/layout/lProcess1"/>
    <dgm:cxn modelId="{5DC0633D-E6A7-4738-A575-A10AB49A4B08}" type="presParOf" srcId="{4B699301-499A-499D-87BF-74D1C8083996}" destId="{EEA69915-9C36-44A8-9274-727D0D4BDFA4}" srcOrd="5" destOrd="0" presId="urn:microsoft.com/office/officeart/2005/8/layout/lProcess1"/>
    <dgm:cxn modelId="{26690285-9C93-49D0-84B6-646420352EF4}" type="presParOf" srcId="{4B699301-499A-499D-87BF-74D1C8083996}" destId="{6FC0CC51-0036-4C20-A02D-39E7C1DEE40F}" srcOrd="6" destOrd="0" presId="urn:microsoft.com/office/officeart/2005/8/layout/lProcess1"/>
    <dgm:cxn modelId="{1A1CBF21-4B34-41DB-83EC-78536D9FF352}" type="presParOf" srcId="{4B699301-499A-499D-87BF-74D1C8083996}" destId="{F10408F4-8A90-4D3F-8707-B0DB66E2AF03}" srcOrd="7" destOrd="0" presId="urn:microsoft.com/office/officeart/2005/8/layout/lProcess1"/>
    <dgm:cxn modelId="{4D2C0386-CF5B-4C55-8B58-2F09B5E90C3D}" type="presParOf" srcId="{4B699301-499A-499D-87BF-74D1C8083996}" destId="{7ADFE0DD-7C6B-4393-A0E6-9F170B15DC2A}" srcOrd="8" destOrd="0" presId="urn:microsoft.com/office/officeart/2005/8/layout/lProcess1"/>
    <dgm:cxn modelId="{40CEFF5C-1ACA-4176-95D8-BD82CFCD7BC6}" type="presParOf" srcId="{4B699301-499A-499D-87BF-74D1C8083996}" destId="{C9EBFA82-B038-450F-A49E-40FF853930EC}" srcOrd="9" destOrd="0" presId="urn:microsoft.com/office/officeart/2005/8/layout/lProcess1"/>
    <dgm:cxn modelId="{19E05991-5BA4-4283-AFC4-D8FA26AFE391}" type="presParOf" srcId="{4B699301-499A-499D-87BF-74D1C8083996}" destId="{6582448A-ADD2-4E3C-9452-83794F850237}" srcOrd="10" destOrd="0" presId="urn:microsoft.com/office/officeart/2005/8/layout/lProcess1"/>
    <dgm:cxn modelId="{D42E48AF-2706-4787-ACEF-0AF305275FDF}" type="presParOf" srcId="{4B699301-499A-499D-87BF-74D1C8083996}" destId="{1FFCC7C8-318D-4B87-B832-8B4AEC98343C}" srcOrd="11" destOrd="0" presId="urn:microsoft.com/office/officeart/2005/8/layout/lProcess1"/>
    <dgm:cxn modelId="{FF1CD344-2333-4909-915B-8B2CC5F2D860}" type="presParOf" srcId="{4B699301-499A-499D-87BF-74D1C8083996}" destId="{638CB794-778F-4F0C-82D6-CCA1155D700B}" srcOrd="12" destOrd="0" presId="urn:microsoft.com/office/officeart/2005/8/layout/lProcess1"/>
    <dgm:cxn modelId="{316D87D9-A3F0-4752-B690-225FAD5F8A42}" type="presParOf" srcId="{4B699301-499A-499D-87BF-74D1C8083996}" destId="{42A0AAEF-4373-4BDA-BC71-2DA0F5C1F82F}" srcOrd="13" destOrd="0" presId="urn:microsoft.com/office/officeart/2005/8/layout/lProcess1"/>
    <dgm:cxn modelId="{464B88CD-FB7C-4173-A31D-C150C0C0ACFA}" type="presParOf" srcId="{4B699301-499A-499D-87BF-74D1C8083996}" destId="{F85D1BD8-DEEF-4C99-878F-7AA4D5DF25B3}" srcOrd="14" destOrd="0" presId="urn:microsoft.com/office/officeart/2005/8/layout/lProcess1"/>
    <dgm:cxn modelId="{46898F6E-B599-4018-91BC-903BDE416DEB}" type="presParOf" srcId="{4B699301-499A-499D-87BF-74D1C8083996}" destId="{6189D2FE-1EEE-475A-A831-2C7B75AFAE28}" srcOrd="15" destOrd="0" presId="urn:microsoft.com/office/officeart/2005/8/layout/lProcess1"/>
    <dgm:cxn modelId="{2DC397A6-524E-4A88-A1CC-FFB79CCB6CB5}" type="presParOf" srcId="{4B699301-499A-499D-87BF-74D1C8083996}" destId="{0FB0E705-B670-4D5D-AE7F-F9D8F5FAC342}" srcOrd="16" destOrd="0" presId="urn:microsoft.com/office/officeart/2005/8/layout/lProcess1"/>
    <dgm:cxn modelId="{F2992EF2-880B-47C1-BAF7-F39875E89576}" type="presParOf" srcId="{856BF43A-10F1-4279-8837-05D16DEB6794}" destId="{E34E9EC3-8B37-439D-B96B-5D432B106981}" srcOrd="1" destOrd="0" presId="urn:microsoft.com/office/officeart/2005/8/layout/lProcess1"/>
    <dgm:cxn modelId="{B947EEA1-A630-4A46-B90A-E8E151FAA8B4}" type="presParOf" srcId="{856BF43A-10F1-4279-8837-05D16DEB6794}" destId="{DD674C08-3422-4106-9F72-8576406E6FB9}" srcOrd="2" destOrd="0" presId="urn:microsoft.com/office/officeart/2005/8/layout/lProcess1"/>
    <dgm:cxn modelId="{8829F11B-23DA-4AC4-A521-4A42328E497C}" type="presParOf" srcId="{DD674C08-3422-4106-9F72-8576406E6FB9}" destId="{CDBB358B-FD29-4433-9B79-3E859FBA7D12}" srcOrd="0" destOrd="0" presId="urn:microsoft.com/office/officeart/2005/8/layout/lProcess1"/>
    <dgm:cxn modelId="{8E6B80D7-9AED-4650-B37F-938277112F51}" type="presParOf" srcId="{DD674C08-3422-4106-9F72-8576406E6FB9}" destId="{16AF0EC3-C09C-4FB1-AB88-B26CBCCF1CCC}" srcOrd="1" destOrd="0" presId="urn:microsoft.com/office/officeart/2005/8/layout/lProcess1"/>
    <dgm:cxn modelId="{8874BACA-FF2C-488C-9AC9-53E2788C3E4A}" type="presParOf" srcId="{DD674C08-3422-4106-9F72-8576406E6FB9}" destId="{0EE5F80D-2AAA-4C0E-B5C2-6235FBB14D3E}" srcOrd="2" destOrd="0" presId="urn:microsoft.com/office/officeart/2005/8/layout/lProcess1"/>
    <dgm:cxn modelId="{F240AB93-2A6C-422E-9341-DD205FEA8DED}" type="presParOf" srcId="{DD674C08-3422-4106-9F72-8576406E6FB9}" destId="{701C8B31-198C-48E9-BE3A-F078614E40E5}" srcOrd="3" destOrd="0" presId="urn:microsoft.com/office/officeart/2005/8/layout/lProcess1"/>
    <dgm:cxn modelId="{F33E9458-5A9F-43B5-9B9B-2432EDD7762C}" type="presParOf" srcId="{DD674C08-3422-4106-9F72-8576406E6FB9}" destId="{8BDCCCAC-EF1F-4CF1-8155-0D3097797A29}" srcOrd="4" destOrd="0" presId="urn:microsoft.com/office/officeart/2005/8/layout/lProcess1"/>
    <dgm:cxn modelId="{DD26B41F-0BF2-4D9B-991F-F3FC556C8ABF}" type="presParOf" srcId="{DD674C08-3422-4106-9F72-8576406E6FB9}" destId="{BD8BC3A2-1AE8-46C8-BEDF-022772638E4B}" srcOrd="5" destOrd="0" presId="urn:microsoft.com/office/officeart/2005/8/layout/lProcess1"/>
    <dgm:cxn modelId="{F62E0C3E-0EFB-4E34-929E-BD97D3AB781B}" type="presParOf" srcId="{DD674C08-3422-4106-9F72-8576406E6FB9}" destId="{41373A2A-507B-452C-B18A-6E7893A034EA}" srcOrd="6" destOrd="0" presId="urn:microsoft.com/office/officeart/2005/8/layout/lProcess1"/>
    <dgm:cxn modelId="{38269A44-DA4A-4BFA-8962-F29EED866BB0}" type="presParOf" srcId="{DD674C08-3422-4106-9F72-8576406E6FB9}" destId="{0CC2C95B-5A39-423C-8E54-98B82054BB6B}" srcOrd="7" destOrd="0" presId="urn:microsoft.com/office/officeart/2005/8/layout/lProcess1"/>
    <dgm:cxn modelId="{8289DB0E-A1DF-432A-8414-A836C472338A}" type="presParOf" srcId="{DD674C08-3422-4106-9F72-8576406E6FB9}" destId="{EAEB283A-3B9C-44D5-B5B4-4A0AF71FC2FD}" srcOrd="8" destOrd="0" presId="urn:microsoft.com/office/officeart/2005/8/layout/lProcess1"/>
    <dgm:cxn modelId="{4A562215-335B-489B-B337-25578DF934CA}" type="presParOf" srcId="{DD674C08-3422-4106-9F72-8576406E6FB9}" destId="{241650B1-9D7C-419F-A563-D5DF82608081}" srcOrd="9" destOrd="0" presId="urn:microsoft.com/office/officeart/2005/8/layout/lProcess1"/>
    <dgm:cxn modelId="{0D91580C-E141-440C-93CF-E570D9C1BFF8}" type="presParOf" srcId="{DD674C08-3422-4106-9F72-8576406E6FB9}" destId="{706B0AFE-8699-4C95-994B-473B93877E85}" srcOrd="10" destOrd="0" presId="urn:microsoft.com/office/officeart/2005/8/layout/lProcess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E157E8E-31E5-4455-AFFC-F6C9ECDFBF9D}">
      <dsp:nvSpPr>
        <dsp:cNvPr id="0" name=""/>
        <dsp:cNvSpPr/>
      </dsp:nvSpPr>
      <dsp:spPr>
        <a:xfrm>
          <a:off x="0" y="77603"/>
          <a:ext cx="4545160" cy="863614"/>
        </a:xfrm>
        <a:prstGeom prst="roundRect">
          <a:avLst>
            <a:gd name="adj" fmla="val 10000"/>
          </a:avLst>
        </a:prstGeom>
        <a:solidFill>
          <a:srgbClr val="7030A0"/>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Written representations are made in accordance with regulation 12(5) and (6) by the provider(s)</a:t>
          </a:r>
        </a:p>
      </dsp:txBody>
      <dsp:txXfrm>
        <a:off x="25294" y="102897"/>
        <a:ext cx="4494572" cy="813026"/>
      </dsp:txXfrm>
    </dsp:sp>
    <dsp:sp modelId="{D2CA3630-FC00-4A65-8992-A49613EAC8B1}">
      <dsp:nvSpPr>
        <dsp:cNvPr id="0" name=""/>
        <dsp:cNvSpPr/>
      </dsp:nvSpPr>
      <dsp:spPr>
        <a:xfrm rot="5359897">
          <a:off x="2158679" y="991890"/>
          <a:ext cx="226313" cy="198850"/>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1A95A84-A5EC-4164-A18B-60975530B1E5}">
      <dsp:nvSpPr>
        <dsp:cNvPr id="0" name=""/>
        <dsp:cNvSpPr/>
      </dsp:nvSpPr>
      <dsp:spPr>
        <a:xfrm>
          <a:off x="14178" y="1393813"/>
          <a:ext cx="4547432" cy="856683"/>
        </a:xfrm>
        <a:prstGeom prst="roundRect">
          <a:avLst>
            <a:gd name="adj" fmla="val 10000"/>
          </a:avLst>
        </a:prstGeom>
        <a:solidFill>
          <a:srgbClr val="7030A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The relevant authority must allow the provider such further opportunity to explain or clarify their representations and promptly provide any information requested by the provider(s)</a:t>
          </a:r>
        </a:p>
      </dsp:txBody>
      <dsp:txXfrm>
        <a:off x="39269" y="1418904"/>
        <a:ext cx="4497250" cy="806501"/>
      </dsp:txXfrm>
    </dsp:sp>
    <dsp:sp modelId="{DCEDB8DD-155D-41DA-969F-89DD922B8CA1}">
      <dsp:nvSpPr>
        <dsp:cNvPr id="0" name=""/>
        <dsp:cNvSpPr/>
      </dsp:nvSpPr>
      <dsp:spPr>
        <a:xfrm rot="5445252">
          <a:off x="2095029" y="2360439"/>
          <a:ext cx="357803" cy="236276"/>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5A504C4B-84DF-4448-910C-BA510BFD4FC5}">
      <dsp:nvSpPr>
        <dsp:cNvPr id="0" name=""/>
        <dsp:cNvSpPr/>
      </dsp:nvSpPr>
      <dsp:spPr>
        <a:xfrm>
          <a:off x="0" y="2649513"/>
          <a:ext cx="4545160" cy="672024"/>
        </a:xfrm>
        <a:prstGeom prst="roundRect">
          <a:avLst>
            <a:gd name="adj" fmla="val 10000"/>
          </a:avLst>
        </a:prstGeom>
        <a:solidFill>
          <a:srgbClr val="7030A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The relevant authority must consider the representations and review their original decision</a:t>
          </a:r>
        </a:p>
      </dsp:txBody>
      <dsp:txXfrm>
        <a:off x="19683" y="2669196"/>
        <a:ext cx="4505794" cy="632658"/>
      </dsp:txXfrm>
    </dsp:sp>
    <dsp:sp modelId="{EEA69915-9C36-44A8-9274-727D0D4BDFA4}">
      <dsp:nvSpPr>
        <dsp:cNvPr id="0" name=""/>
        <dsp:cNvSpPr/>
      </dsp:nvSpPr>
      <dsp:spPr>
        <a:xfrm rot="5319545">
          <a:off x="2137621" y="3415424"/>
          <a:ext cx="295080" cy="215226"/>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FC0CC51-0036-4C20-A02D-39E7C1DEE40F}">
      <dsp:nvSpPr>
        <dsp:cNvPr id="0" name=""/>
        <dsp:cNvSpPr/>
      </dsp:nvSpPr>
      <dsp:spPr>
        <a:xfrm>
          <a:off x="22768" y="3724537"/>
          <a:ext cx="4545160" cy="467390"/>
        </a:xfrm>
        <a:prstGeom prst="roundRect">
          <a:avLst>
            <a:gd name="adj" fmla="val 10000"/>
          </a:avLst>
        </a:prstGeom>
        <a:solidFill>
          <a:srgbClr val="7030A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The relevant authority must make a further decision and can make any number of subsequent further decisions</a:t>
          </a:r>
        </a:p>
      </dsp:txBody>
      <dsp:txXfrm>
        <a:off x="36457" y="3738226"/>
        <a:ext cx="4517782" cy="440012"/>
      </dsp:txXfrm>
    </dsp:sp>
    <dsp:sp modelId="{F10408F4-8A90-4D3F-8707-B0DB66E2AF03}">
      <dsp:nvSpPr>
        <dsp:cNvPr id="0" name=""/>
        <dsp:cNvSpPr/>
      </dsp:nvSpPr>
      <dsp:spPr>
        <a:xfrm rot="5488312">
          <a:off x="2097096" y="4285874"/>
          <a:ext cx="375267" cy="171228"/>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ADFE0DD-7C6B-4393-A0E6-9F170B15DC2A}">
      <dsp:nvSpPr>
        <dsp:cNvPr id="0" name=""/>
        <dsp:cNvSpPr/>
      </dsp:nvSpPr>
      <dsp:spPr>
        <a:xfrm>
          <a:off x="542" y="4551049"/>
          <a:ext cx="4545160" cy="544362"/>
        </a:xfrm>
        <a:prstGeom prst="roundRect">
          <a:avLst>
            <a:gd name="adj" fmla="val 10000"/>
          </a:avLst>
        </a:prstGeom>
        <a:solidFill>
          <a:srgbClr val="7030A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The relevant authority must communicate its further decision and any subsequent decisions to the provider(s)</a:t>
          </a:r>
        </a:p>
      </dsp:txBody>
      <dsp:txXfrm>
        <a:off x="16486" y="4566993"/>
        <a:ext cx="4513272" cy="512474"/>
      </dsp:txXfrm>
    </dsp:sp>
    <dsp:sp modelId="{C9EBFA82-B038-450F-A49E-40FF853930EC}">
      <dsp:nvSpPr>
        <dsp:cNvPr id="0" name=""/>
        <dsp:cNvSpPr/>
      </dsp:nvSpPr>
      <dsp:spPr>
        <a:xfrm rot="5400000">
          <a:off x="2180520" y="5188014"/>
          <a:ext cx="185205" cy="198850"/>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582448A-ADD2-4E3C-9452-83794F850237}">
      <dsp:nvSpPr>
        <dsp:cNvPr id="0" name=""/>
        <dsp:cNvSpPr/>
      </dsp:nvSpPr>
      <dsp:spPr>
        <a:xfrm>
          <a:off x="542" y="5479468"/>
          <a:ext cx="4545160" cy="720044"/>
        </a:xfrm>
        <a:prstGeom prst="roundRect">
          <a:avLst>
            <a:gd name="adj" fmla="val 10000"/>
          </a:avLst>
        </a:prstGeom>
        <a:solidFill>
          <a:srgbClr val="7030A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The relevant authority must allow at least 5 working days before they end the standstill period</a:t>
          </a:r>
        </a:p>
      </dsp:txBody>
      <dsp:txXfrm>
        <a:off x="21631" y="5500557"/>
        <a:ext cx="4502982" cy="677866"/>
      </dsp:txXfrm>
    </dsp:sp>
    <dsp:sp modelId="{1FFCC7C8-318D-4B87-B832-8B4AEC98343C}">
      <dsp:nvSpPr>
        <dsp:cNvPr id="0" name=""/>
        <dsp:cNvSpPr/>
      </dsp:nvSpPr>
      <dsp:spPr>
        <a:xfrm rot="5400000">
          <a:off x="2139582" y="6333052"/>
          <a:ext cx="267080" cy="198850"/>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38CB794-778F-4F0C-82D6-CCA1155D700B}">
      <dsp:nvSpPr>
        <dsp:cNvPr id="0" name=""/>
        <dsp:cNvSpPr/>
      </dsp:nvSpPr>
      <dsp:spPr>
        <a:xfrm>
          <a:off x="542" y="6665443"/>
          <a:ext cx="4545160" cy="1338095"/>
        </a:xfrm>
        <a:prstGeom prst="roundRect">
          <a:avLst>
            <a:gd name="adj" fmla="val 10000"/>
          </a:avLst>
        </a:prstGeom>
        <a:solidFill>
          <a:srgbClr val="00B05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0" kern="1200">
              <a:solidFill>
                <a:sysClr val="windowText" lastClr="000000"/>
              </a:solidFill>
              <a:latin typeface="Arial" panose="020B0604020202020204" pitchFamily="34" charset="0"/>
              <a:cs typeface="Arial" panose="020B0604020202020204" pitchFamily="34" charset="0"/>
            </a:rPr>
            <a:t>If no further communication is received from the provider(s), then the relevant authority may progress with its last communicated further decision or subsequent further decision, as the case may be (i.e. continue with the original decision, return to an earlier step or abandon the procurement process)</a:t>
          </a:r>
        </a:p>
      </dsp:txBody>
      <dsp:txXfrm>
        <a:off x="39733" y="6704634"/>
        <a:ext cx="4466778" cy="1259713"/>
      </dsp:txXfrm>
    </dsp:sp>
    <dsp:sp modelId="{42A0AAEF-4373-4BDA-BC71-2DA0F5C1F82F}">
      <dsp:nvSpPr>
        <dsp:cNvPr id="0" name=""/>
        <dsp:cNvSpPr/>
      </dsp:nvSpPr>
      <dsp:spPr>
        <a:xfrm rot="16200000">
          <a:off x="2115052" y="8157550"/>
          <a:ext cx="308028" cy="198850"/>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F85D1BD8-DEEF-4C99-878F-7AA4D5DF25B3}">
      <dsp:nvSpPr>
        <dsp:cNvPr id="0" name=""/>
        <dsp:cNvSpPr/>
      </dsp:nvSpPr>
      <dsp:spPr>
        <a:xfrm>
          <a:off x="48812" y="8510413"/>
          <a:ext cx="4433803" cy="1018502"/>
        </a:xfrm>
        <a:prstGeom prst="roundRect">
          <a:avLst>
            <a:gd name="adj" fmla="val 10000"/>
          </a:avLst>
        </a:prstGeom>
        <a:solidFill>
          <a:srgbClr val="00B05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0" kern="1200">
              <a:solidFill>
                <a:sysClr val="windowText" lastClr="000000"/>
              </a:solidFill>
              <a:latin typeface="Arial" panose="020B0604020202020204" pitchFamily="34" charset="0"/>
              <a:cs typeface="Arial" panose="020B0604020202020204" pitchFamily="34" charset="0"/>
            </a:rPr>
            <a:t>The relevant authority should allow at least 5 working days before they end the standstill period </a:t>
          </a:r>
        </a:p>
      </dsp:txBody>
      <dsp:txXfrm>
        <a:off x="78643" y="8540244"/>
        <a:ext cx="4374141" cy="958840"/>
      </dsp:txXfrm>
    </dsp:sp>
    <dsp:sp modelId="{6189D2FE-1EEE-475A-A831-2C7B75AFAE28}">
      <dsp:nvSpPr>
        <dsp:cNvPr id="0" name=""/>
        <dsp:cNvSpPr/>
      </dsp:nvSpPr>
      <dsp:spPr>
        <a:xfrm rot="16200000">
          <a:off x="2108263" y="9689670"/>
          <a:ext cx="321514" cy="198850"/>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FB0E705-B670-4D5D-AE7F-F9D8F5FAC342}">
      <dsp:nvSpPr>
        <dsp:cNvPr id="0" name=""/>
        <dsp:cNvSpPr/>
      </dsp:nvSpPr>
      <dsp:spPr>
        <a:xfrm>
          <a:off x="0" y="10049276"/>
          <a:ext cx="4545160" cy="1136290"/>
        </a:xfrm>
        <a:prstGeom prst="roundRect">
          <a:avLst>
            <a:gd name="adj" fmla="val 10000"/>
          </a:avLst>
        </a:prstGeom>
        <a:solidFill>
          <a:srgbClr val="00B050">
            <a:alpha val="90000"/>
          </a:srgb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0" kern="1200">
              <a:solidFill>
                <a:sysClr val="windowText" lastClr="000000"/>
              </a:solidFill>
              <a:latin typeface="Arial" panose="020B0604020202020204" pitchFamily="34" charset="0"/>
              <a:cs typeface="Arial" panose="020B0604020202020204" pitchFamily="34" charset="0"/>
            </a:rPr>
            <a:t>If the relevant authority makes a further decision they should communicate its further decision and any other subsequent decisions to the provider(s)</a:t>
          </a:r>
        </a:p>
      </dsp:txBody>
      <dsp:txXfrm>
        <a:off x="33281" y="10082557"/>
        <a:ext cx="4478598" cy="1069728"/>
      </dsp:txXfrm>
    </dsp:sp>
    <dsp:sp modelId="{CDBB358B-FD29-4433-9B79-3E859FBA7D12}">
      <dsp:nvSpPr>
        <dsp:cNvPr id="0" name=""/>
        <dsp:cNvSpPr/>
      </dsp:nvSpPr>
      <dsp:spPr>
        <a:xfrm>
          <a:off x="5191294" y="129356"/>
          <a:ext cx="4545160" cy="1136290"/>
        </a:xfrm>
        <a:prstGeom prst="roundRect">
          <a:avLst>
            <a:gd name="adj" fmla="val 10000"/>
          </a:avLst>
        </a:prstGeom>
        <a:solidFill>
          <a:srgbClr val="7030A0"/>
        </a:solidFill>
        <a:ln w="12700" cap="flat" cmpd="sng" algn="ctr">
          <a:solidFill>
            <a:schemeClr val="tx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No written representations are received from provider(s), or no written representations that meet the requirements of regulations 12(5) and (6) are received from provider(s)</a:t>
          </a:r>
        </a:p>
      </dsp:txBody>
      <dsp:txXfrm>
        <a:off x="5224575" y="162637"/>
        <a:ext cx="4478598" cy="1069728"/>
      </dsp:txXfrm>
    </dsp:sp>
    <dsp:sp modelId="{16AF0EC3-C09C-4FB1-AB88-B26CBCCF1CCC}">
      <dsp:nvSpPr>
        <dsp:cNvPr id="0" name=""/>
        <dsp:cNvSpPr/>
      </dsp:nvSpPr>
      <dsp:spPr>
        <a:xfrm rot="5407460">
          <a:off x="7311773" y="1466652"/>
          <a:ext cx="300432" cy="198850"/>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EE5F80D-2AAA-4C0E-B5C2-6235FBB14D3E}">
      <dsp:nvSpPr>
        <dsp:cNvPr id="0" name=""/>
        <dsp:cNvSpPr/>
      </dsp:nvSpPr>
      <dsp:spPr>
        <a:xfrm>
          <a:off x="5187524" y="1866509"/>
          <a:ext cx="4545160" cy="1136290"/>
        </a:xfrm>
        <a:prstGeom prst="roundRect">
          <a:avLst>
            <a:gd name="adj" fmla="val 10000"/>
          </a:avLst>
        </a:prstGeom>
        <a:solidFill>
          <a:srgbClr val="7030A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The standstill period ends at midnight at the end of the 8th working day after the standstill period began and the relevant authority may award the contract, or conclude the framework agreement with the selected provider(s).</a:t>
          </a:r>
        </a:p>
      </dsp:txBody>
      <dsp:txXfrm>
        <a:off x="5220805" y="1899790"/>
        <a:ext cx="4478598" cy="1069728"/>
      </dsp:txXfrm>
    </dsp:sp>
    <dsp:sp modelId="{701C8B31-198C-48E9-BE3A-F078614E40E5}">
      <dsp:nvSpPr>
        <dsp:cNvPr id="0" name=""/>
        <dsp:cNvSpPr/>
      </dsp:nvSpPr>
      <dsp:spPr>
        <a:xfrm rot="5392315">
          <a:off x="7286364" y="3178424"/>
          <a:ext cx="351251" cy="198850"/>
        </a:xfrm>
        <a:prstGeom prst="rightArrow">
          <a:avLst>
            <a:gd name="adj1" fmla="val 66700"/>
            <a:gd name="adj2" fmla="val 50000"/>
          </a:avLst>
        </a:prstGeom>
        <a:solidFill>
          <a:schemeClr val="bg1"/>
        </a:solidFill>
        <a:ln>
          <a:noFill/>
        </a:ln>
        <a:effectLst/>
      </dsp:spPr>
      <dsp:style>
        <a:lnRef idx="0">
          <a:scrgbClr r="0" g="0" b="0"/>
        </a:lnRef>
        <a:fillRef idx="1">
          <a:scrgbClr r="0" g="0" b="0"/>
        </a:fillRef>
        <a:effectRef idx="0">
          <a:scrgbClr r="0" g="0" b="0"/>
        </a:effectRef>
        <a:fontRef idx="minor">
          <a:schemeClr val="lt1"/>
        </a:fontRef>
      </dsp:style>
    </dsp:sp>
    <dsp:sp modelId="{8BDCCCAC-EF1F-4CF1-8155-0D3097797A29}">
      <dsp:nvSpPr>
        <dsp:cNvPr id="0" name=""/>
        <dsp:cNvSpPr/>
      </dsp:nvSpPr>
      <dsp:spPr>
        <a:xfrm>
          <a:off x="5191294" y="3552900"/>
          <a:ext cx="4545160" cy="1136290"/>
        </a:xfrm>
        <a:prstGeom prst="roundRect">
          <a:avLst>
            <a:gd name="adj" fmla="val 10000"/>
          </a:avLst>
        </a:prstGeom>
        <a:solidFill>
          <a:srgbClr val="7030A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Further and subsequent decisions that a relevant authority can make - </a:t>
          </a:r>
        </a:p>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1. continue to the original decision. </a:t>
          </a:r>
        </a:p>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2. return to an earlier step in the process. </a:t>
          </a:r>
        </a:p>
        <a:p>
          <a:pPr marL="0" lvl="0" indent="0" algn="ctr" defTabSz="533400">
            <a:lnSpc>
              <a:spcPct val="90000"/>
            </a:lnSpc>
            <a:spcBef>
              <a:spcPct val="0"/>
            </a:spcBef>
            <a:spcAft>
              <a:spcPct val="35000"/>
            </a:spcAft>
            <a:buNone/>
          </a:pPr>
          <a:r>
            <a:rPr lang="en-GB" sz="1200" b="1" kern="1200">
              <a:solidFill>
                <a:schemeClr val="bg1"/>
              </a:solidFill>
              <a:latin typeface="Arial" panose="020B0604020202020204" pitchFamily="34" charset="0"/>
              <a:cs typeface="Arial" panose="020B0604020202020204" pitchFamily="34" charset="0"/>
            </a:rPr>
            <a:t>3. abandon the procurement process.</a:t>
          </a:r>
        </a:p>
      </dsp:txBody>
      <dsp:txXfrm>
        <a:off x="5224575" y="3586181"/>
        <a:ext cx="4478598" cy="1069728"/>
      </dsp:txXfrm>
    </dsp:sp>
    <dsp:sp modelId="{BD8BC3A2-1AE8-46C8-BEDF-022772638E4B}">
      <dsp:nvSpPr>
        <dsp:cNvPr id="0" name=""/>
        <dsp:cNvSpPr/>
      </dsp:nvSpPr>
      <dsp:spPr>
        <a:xfrm rot="5441900">
          <a:off x="7297235" y="4845765"/>
          <a:ext cx="313188" cy="198850"/>
        </a:xfrm>
        <a:prstGeom prst="rightArrow">
          <a:avLst>
            <a:gd name="adj1" fmla="val 66700"/>
            <a:gd name="adj2" fmla="val 50000"/>
          </a:avLst>
        </a:prstGeom>
        <a:solidFill>
          <a:schemeClr val="bg1"/>
        </a:solidFill>
        <a:ln>
          <a:noFill/>
        </a:ln>
        <a:effectLst/>
      </dsp:spPr>
      <dsp:style>
        <a:lnRef idx="0">
          <a:scrgbClr r="0" g="0" b="0"/>
        </a:lnRef>
        <a:fillRef idx="1">
          <a:scrgbClr r="0" g="0" b="0"/>
        </a:fillRef>
        <a:effectRef idx="0">
          <a:scrgbClr r="0" g="0" b="0"/>
        </a:effectRef>
        <a:fontRef idx="minor">
          <a:schemeClr val="lt1"/>
        </a:fontRef>
      </dsp:style>
    </dsp:sp>
    <dsp:sp modelId="{41373A2A-507B-452C-B18A-6E7893A034EA}">
      <dsp:nvSpPr>
        <dsp:cNvPr id="0" name=""/>
        <dsp:cNvSpPr/>
      </dsp:nvSpPr>
      <dsp:spPr>
        <a:xfrm>
          <a:off x="5168480" y="5201191"/>
          <a:ext cx="4545160" cy="1583147"/>
        </a:xfrm>
        <a:prstGeom prst="roundRect">
          <a:avLst>
            <a:gd name="adj" fmla="val 10000"/>
          </a:avLst>
        </a:prstGeom>
        <a:solidFill>
          <a:srgbClr val="00B05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0" kern="1200">
              <a:solidFill>
                <a:sysClr val="windowText" lastClr="000000"/>
              </a:solidFill>
              <a:latin typeface="Arial" panose="020B0604020202020204" pitchFamily="34" charset="0"/>
              <a:cs typeface="Arial" panose="020B0604020202020204" pitchFamily="34" charset="0"/>
            </a:rPr>
            <a:t>If the provider remains unsatisfied, they may escalate their representation to the Wales Procurement Review Unit </a:t>
          </a:r>
        </a:p>
        <a:p>
          <a:pPr marL="0" lvl="0" indent="0" algn="ctr" defTabSz="533400">
            <a:lnSpc>
              <a:spcPct val="90000"/>
            </a:lnSpc>
            <a:spcBef>
              <a:spcPct val="0"/>
            </a:spcBef>
            <a:spcAft>
              <a:spcPct val="35000"/>
            </a:spcAft>
            <a:buNone/>
          </a:pPr>
          <a:r>
            <a:rPr lang="en-GB" sz="1200" b="0" kern="1200">
              <a:solidFill>
                <a:sysClr val="windowText" lastClr="000000"/>
              </a:solidFill>
              <a:latin typeface="Arial" panose="020B0604020202020204" pitchFamily="34" charset="0"/>
              <a:cs typeface="Arial" panose="020B0604020202020204" pitchFamily="34" charset="0"/>
            </a:rPr>
            <a:t>(Wales PRU)</a:t>
          </a:r>
        </a:p>
      </dsp:txBody>
      <dsp:txXfrm>
        <a:off x="5214849" y="5247560"/>
        <a:ext cx="4452422" cy="1490409"/>
      </dsp:txXfrm>
    </dsp:sp>
    <dsp:sp modelId="{0CC2C95B-5A39-423C-8E54-98B82054BB6B}">
      <dsp:nvSpPr>
        <dsp:cNvPr id="0" name=""/>
        <dsp:cNvSpPr/>
      </dsp:nvSpPr>
      <dsp:spPr>
        <a:xfrm rot="5367313">
          <a:off x="7201470" y="7034767"/>
          <a:ext cx="500887" cy="198850"/>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EAEB283A-3B9C-44D5-B5B4-4A0AF71FC2FD}">
      <dsp:nvSpPr>
        <dsp:cNvPr id="0" name=""/>
        <dsp:cNvSpPr/>
      </dsp:nvSpPr>
      <dsp:spPr>
        <a:xfrm>
          <a:off x="5191294" y="7484045"/>
          <a:ext cx="4545160" cy="1816075"/>
        </a:xfrm>
        <a:prstGeom prst="roundRect">
          <a:avLst>
            <a:gd name="adj" fmla="val 10000"/>
          </a:avLst>
        </a:prstGeom>
        <a:solidFill>
          <a:srgbClr val="00B05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0" kern="1200">
              <a:solidFill>
                <a:sysClr val="windowText" lastClr="000000"/>
              </a:solidFill>
              <a:latin typeface="Arial" panose="020B0604020202020204" pitchFamily="34" charset="0"/>
              <a:cs typeface="Arial" panose="020B0604020202020204" pitchFamily="34" charset="0"/>
            </a:rPr>
            <a:t>Where the Wales PRU accepts the representations made by a provider(s), the relevant authority should not end the standstill period until the Wales PRU has reviewed the representations and provided advice to the relevant authority, unless there are exceptional circumstances that necessitate the prompt award of a contract or conclusion of a framework agreement.</a:t>
          </a:r>
        </a:p>
      </dsp:txBody>
      <dsp:txXfrm>
        <a:off x="5244485" y="7537236"/>
        <a:ext cx="4438778" cy="1709693"/>
      </dsp:txXfrm>
    </dsp:sp>
    <dsp:sp modelId="{241650B1-9D7C-419F-A563-D5DF82608081}">
      <dsp:nvSpPr>
        <dsp:cNvPr id="0" name=""/>
        <dsp:cNvSpPr/>
      </dsp:nvSpPr>
      <dsp:spPr>
        <a:xfrm rot="5442825">
          <a:off x="7209960" y="9489146"/>
          <a:ext cx="327914" cy="237728"/>
        </a:xfrm>
        <a:prstGeom prst="rightArrow">
          <a:avLst>
            <a:gd name="adj1" fmla="val 667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706B0AFE-8699-4C95-994B-473B93877E85}">
      <dsp:nvSpPr>
        <dsp:cNvPr id="0" name=""/>
        <dsp:cNvSpPr/>
      </dsp:nvSpPr>
      <dsp:spPr>
        <a:xfrm>
          <a:off x="5051442" y="10030199"/>
          <a:ext cx="4545160" cy="1136290"/>
        </a:xfrm>
        <a:prstGeom prst="roundRect">
          <a:avLst>
            <a:gd name="adj" fmla="val 10000"/>
          </a:avLst>
        </a:prstGeom>
        <a:solidFill>
          <a:srgbClr val="00B050">
            <a:alpha val="90000"/>
          </a:srgbClr>
        </a:solidFill>
        <a:ln w="12700" cap="flat" cmpd="sng" algn="ctr">
          <a:solidFill>
            <a:schemeClr val="tx1">
              <a:alpha val="9000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5240" rIns="15240" bIns="15240" numCol="1" spcCol="1270" anchor="ctr" anchorCtr="0">
          <a:noAutofit/>
        </a:bodyPr>
        <a:lstStyle/>
        <a:p>
          <a:pPr marL="0" lvl="0" indent="0" algn="ctr" defTabSz="533400">
            <a:lnSpc>
              <a:spcPct val="90000"/>
            </a:lnSpc>
            <a:spcBef>
              <a:spcPct val="0"/>
            </a:spcBef>
            <a:spcAft>
              <a:spcPct val="35000"/>
            </a:spcAft>
            <a:buNone/>
          </a:pPr>
          <a:r>
            <a:rPr lang="en-GB" sz="1200" b="0" kern="1200">
              <a:solidFill>
                <a:sysClr val="windowText" lastClr="000000"/>
              </a:solidFill>
              <a:latin typeface="Arial" panose="020B0604020202020204" pitchFamily="34" charset="0"/>
              <a:cs typeface="Arial" panose="020B0604020202020204" pitchFamily="34" charset="0"/>
            </a:rPr>
            <a:t>The relevant authority should consider the advice provided by the Wales PRU and consider whether it would be appropriate to make a subsequent further decision.</a:t>
          </a:r>
        </a:p>
      </dsp:txBody>
      <dsp:txXfrm>
        <a:off x="5084723" y="10063480"/>
        <a:ext cx="4478598" cy="1069728"/>
      </dsp:txXfrm>
    </dsp:sp>
  </dsp:spTree>
</dsp:drawing>
</file>

<file path=word/diagrams/layout1.xml><?xml version="1.0" encoding="utf-8"?>
<dgm:layoutDef xmlns:dgm="http://schemas.openxmlformats.org/drawingml/2006/diagram" xmlns:a="http://schemas.openxmlformats.org/drawingml/2006/main" uniqueId="urn:microsoft.com/office/officeart/2005/8/layout/lProcess1">
  <dgm:title val=""/>
  <dgm:desc val=""/>
  <dgm:catLst>
    <dgm:cat type="process" pri="1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0" destId="2" srcOrd="0" destOrd="0"/>
        <dgm:cxn modelId="6" srcId="1" destId="3" srcOrd="1" destOrd="0"/>
        <dgm:cxn modelId="23" srcId="2" destId="21" srcOrd="0" destOrd="0"/>
        <dgm:cxn modelId="24" srcId="2" destId="22" srcOrd="1" destOrd="0"/>
        <dgm:cxn modelId="33" srcId="1" destId="31" srcOrd="0" destOrd="0"/>
      </dgm:cxnLst>
      <dgm:bg/>
      <dgm:whole/>
    </dgm:dataModel>
  </dgm:sampData>
  <dgm:styleData>
    <dgm:dataModel>
      <dgm:ptLst>
        <dgm:pt modelId="0" type="doc"/>
        <dgm:pt modelId="1"/>
        <dgm:pt modelId="11"/>
        <dgm:pt modelId="2"/>
        <dgm:pt modelId="22"/>
      </dgm:ptLst>
      <dgm:cxnLst>
        <dgm:cxn modelId="3" srcId="0" destId="1" srcOrd="0" destOrd="0"/>
        <dgm:cxn modelId="4" srcId="0" destId="2" srcOrd="0" destOrd="0"/>
        <dgm:cxn modelId="5" srcId="1" destId="11" srcOrd="0" destOrd="0"/>
        <dgm:cxn modelId="6" srcId="2" destId="22"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51" srcId="1" destId="11" srcOrd="0" destOrd="0"/>
        <dgm:cxn modelId="61" srcId="2" destId="21" srcOrd="0" destOrd="0"/>
        <dgm:cxn modelId="71" srcId="3" destId="31" srcOrd="0" destOrd="0"/>
        <dgm:cxn modelId="81"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vertAlign" val="mid"/>
          <dgm:param type="nodeHorzAlign" val="l"/>
          <dgm:param type="nodeVertAlign" val="t"/>
          <dgm:param type="fallback" val="2D"/>
        </dgm:alg>
      </dgm:if>
      <dgm:else name="Name3">
        <dgm:alg type="lin">
          <dgm:param type="linDir" val="fromR"/>
          <dgm:param type="vertAlign" val="mid"/>
          <dgm:param type="nodeHorzAlign" val="r"/>
          <dgm:param type="nodeVertAlign" val="t"/>
          <dgm:param type="fallback" val="2D"/>
        </dgm:alg>
      </dgm:else>
    </dgm:choose>
    <dgm:shape xmlns:r="http://schemas.openxmlformats.org/officeDocument/2006/relationships" r:blip="">
      <dgm:adjLst/>
    </dgm:shape>
    <dgm:presOf/>
    <dgm:constrLst>
      <dgm:constr type="h" for="des" forName="header" refType="h"/>
      <dgm:constr type="w" for="des" forName="header" refType="h" refFor="des" refForName="header" op="equ" fact="4"/>
      <dgm:constr type="h" for="des" forName="child" refType="h" refFor="des" refForName="header" op="equ"/>
      <dgm:constr type="w" for="des" forName="child" refType="w" refFor="des" refForName="header" op="equ"/>
      <dgm:constr type="w" for="ch" forName="hSp" refType="w" refFor="des" refForName="header" op="equ" fact="0.14"/>
      <dgm:constr type="h" for="des" forName="parTrans" refType="h" refFor="des" refForName="header" op="equ" fact="0.35"/>
      <dgm:constr type="h" for="des" forName="sibTrans" refType="h" refFor="des" refForName="parTrans" op="equ"/>
      <dgm:constr type="primFontSz" for="des" forName="child" op="equ" val="65"/>
      <dgm:constr type="primFontSz" for="des" forName="header" op="equ" val="65"/>
    </dgm:constrLst>
    <dgm:ruleLst/>
    <dgm:forEach name="Name4" axis="ch" ptType="node">
      <dgm:layoutNode name="vertFlow">
        <dgm:choose name="Name5">
          <dgm:if name="Name6" func="var" arg="dir" op="equ" val="norm">
            <dgm:alg type="lin">
              <dgm:param type="linDir" val="fromT"/>
              <dgm:param type="nodeHorzAlign" val="ctr"/>
              <dgm:param type="nodeVertAlign" val="t"/>
              <dgm:param type="fallback" val="2D"/>
            </dgm:alg>
          </dgm:if>
          <dgm:else name="Name7">
            <dgm:alg type="lin">
              <dgm:param type="linDir" val="fromT"/>
              <dgm:param type="nodeHorzAlign" val="ctr"/>
              <dgm:param type="nodeVertAlign" val="t"/>
              <dgm:param type="fallback" val="2D"/>
            </dgm:alg>
          </dgm:else>
        </dgm:choose>
        <dgm:shape xmlns:r="http://schemas.openxmlformats.org/officeDocument/2006/relationships" r:blip="">
          <dgm:adjLst/>
        </dgm:shape>
        <dgm:presOf/>
        <dgm:constrLst/>
        <dgm:ruleLst/>
        <dgm:layoutNode name="header" styleLbl="node1">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8" axis="ch" ptType="parTrans" cnt="1">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connDist" fact="0.25"/>
              <dgm:constr type="endPad" refType="connDist" fact="0.25"/>
            </dgm:constrLst>
            <dgm:ruleLst/>
          </dgm:layoutNode>
        </dgm:forEach>
        <dgm:forEach name="Name9" axis="ch" ptType="node">
          <dgm:layoutNode name="child" styleLbl="alignAccFollowNode1">
            <dgm:varLst>
              <dgm:chMax val="0"/>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0" axis="followSib" ptType="sibTrans" cnt="1">
            <dgm:layoutNode name="sibTrans" styleLbl="sibTrans2D1">
              <dgm:alg type="conn">
                <dgm:param type="begPts" val="auto"/>
                <dgm:param type="endPts" val="auto"/>
              </dgm:alg>
              <dgm:shape xmlns:r="http://schemas.openxmlformats.org/officeDocument/2006/relationships" type="conn" r:blip="">
                <dgm:adjLst/>
              </dgm:shape>
              <dgm:presOf axis="self"/>
              <dgm:constrLst>
                <dgm:constr type="w" refType="h"/>
                <dgm:constr type="connDist"/>
                <dgm:constr type="wArH" refType="h" fact="0.25"/>
                <dgm:constr type="hArH" refType="wArH" fact="2"/>
                <dgm:constr type="stemThick" refType="hArH" fact="0.667"/>
                <dgm:constr type="begPad" refType="w" fact="0.25"/>
                <dgm:constr type="endPad" refType="w" fact="0.25"/>
              </dgm:constrLst>
              <dgm:ruleLst/>
            </dgm:layoutNode>
          </dgm:forEach>
        </dgm:forEach>
      </dgm:layoutNode>
      <dgm:choose name="Name11">
        <dgm:if name="Name12" axis="self" ptType="node" func="revPos" op="gte" val="2">
          <dgm:layoutNode name="hSp">
            <dgm:alg type="sp"/>
            <dgm:shape xmlns:r="http://schemas.openxmlformats.org/officeDocument/2006/relationships" r:blip="">
              <dgm:adjLst/>
            </dgm:shape>
            <dgm:presOf/>
            <dgm:constrLst/>
            <dgm:ruleLst/>
          </dgm:layoutNode>
        </dgm:if>
        <dgm:else name="Name13"/>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FF3C5B18883D4E21973B57C2EEED7FD1" version="1.0.0">
  <systemFields>
    <field name="Objective-Id">
      <value order="0">A57492820</value>
    </field>
    <field name="Objective-Title">
      <value order="0">provider-selection-regime-wales-reviewing-decisions-standstill-period-flowchart</value>
    </field>
    <field name="Objective-Description">
      <value order="0"/>
    </field>
    <field name="Objective-CreationStamp">
      <value order="0">2025-03-26T15:44:01Z</value>
    </field>
    <field name="Objective-IsApproved">
      <value order="0">false</value>
    </field>
    <field name="Objective-IsPublished">
      <value order="0">true</value>
    </field>
    <field name="Objective-DatePublished">
      <value order="0">2025-03-26T15:44:01Z</value>
    </field>
    <field name="Objective-ModificationStamp">
      <value order="0">2025-04-11T13:39:09Z</value>
    </field>
    <field name="Objective-Owner">
      <value order="0">Vennard, Calum (FMG - Strategic Communications Division)</value>
    </field>
    <field name="Objective-Path">
      <value order="0">Objective Global Folder:#Business File Plan:WG Organisational Groups:Post April 2024 - Corporate Services &amp; Inspectorates:Corporate Services &amp; Inspectorates (CSI) - Communications:1 - Save:Communications - Digital:Corporate Digital Team 2019-2025:Corporate Digital Team - Web Content - Public Sector - 2019-2023:Public sector procurement</value>
    </field>
    <field name="Objective-Parent">
      <value order="0">Public sector procurement</value>
    </field>
    <field name="Objective-State">
      <value order="0">Published</value>
    </field>
    <field name="Objective-VersionId">
      <value order="0">vA104287607</value>
    </field>
    <field name="Objective-Version">
      <value order="0">1.0</value>
    </field>
    <field name="Objective-VersionNumber">
      <value order="0">1</value>
    </field>
    <field name="Objective-VersionComment">
      <value order="0">Copied from document A56869638.9</value>
    </field>
    <field name="Objective-FileNumber">
      <value order="0">qA1396714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F6410535-F681-459C-90D6-911D8E2892A4}">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353</TotalTime>
  <Pages>3</Pages>
  <Words>528</Words>
  <Characters>3016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3537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Roberts, Leanne (HSCEY - Digital Transformation/Chief Digital Off - Intern'l Part'ship &amp; EU Transition Div.)</dc:creator>
  <cp:keywords/>
  <dc:description/>
  <cp:lastModifiedBy>Roberts, Leanne (HSCEY - Intern'l Part'ship &amp; EU Transition Div.)</cp:lastModifiedBy>
  <cp:revision>23</cp:revision>
  <dcterms:created xsi:type="dcterms:W3CDTF">2025-02-13T16:20:00Z</dcterms:created>
  <dcterms:modified xsi:type="dcterms:W3CDTF">2025-03-05T12:08:00Z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Objective-Comment">
    <vt:lpwstr/>
  </op:property>
  <op:property fmtid="{D5CDD505-2E9C-101B-9397-08002B2CF9AE}" pid="4" name="Customer-Id">
    <vt:lpwstr>FF3C5B18883D4E21973B57C2EEED7FD1</vt:lpwstr>
  </op:property>
  <op:property fmtid="{D5CDD505-2E9C-101B-9397-08002B2CF9AE}" pid="5" name="Objective-Id">
    <vt:lpwstr>A57492820</vt:lpwstr>
  </op:property>
  <op:property fmtid="{D5CDD505-2E9C-101B-9397-08002B2CF9AE}" pid="6" name="Objective-Title">
    <vt:lpwstr>provider-selection-regime-wales-reviewing-decisions-standstill-period-flowchart</vt:lpwstr>
  </op:property>
  <op:property fmtid="{D5CDD505-2E9C-101B-9397-08002B2CF9AE}" pid="7" name="Objective-Description">
    <vt:lpwstr/>
  </op:property>
  <op:property fmtid="{D5CDD505-2E9C-101B-9397-08002B2CF9AE}" pid="8" name="Objective-CreationStamp">
    <vt:filetime>2025-03-26T14:44:01Z</vt:filetime>
  </op:property>
  <op:property fmtid="{D5CDD505-2E9C-101B-9397-08002B2CF9AE}" pid="9" name="Objective-IsApproved">
    <vt:bool>false</vt:bool>
  </op:property>
  <op:property fmtid="{D5CDD505-2E9C-101B-9397-08002B2CF9AE}" pid="10" name="Objective-IsPublished">
    <vt:bool>true</vt:bool>
  </op:property>
  <op:property fmtid="{D5CDD505-2E9C-101B-9397-08002B2CF9AE}" pid="11" name="Objective-DatePublished">
    <vt:filetime>2025-03-26T14:44:01Z</vt:filetime>
  </op:property>
  <op:property fmtid="{D5CDD505-2E9C-101B-9397-08002B2CF9AE}" pid="12" name="Objective-ModificationStamp">
    <vt:filetime>2025-04-11T13:39:09Z</vt:filetime>
  </op:property>
  <op:property fmtid="{D5CDD505-2E9C-101B-9397-08002B2CF9AE}" pid="13" name="Objective-Owner">
    <vt:lpwstr>Vennard, Calum (FMG - Strategic Communications Division)</vt:lpwstr>
  </op:property>
  <op:property fmtid="{D5CDD505-2E9C-101B-9397-08002B2CF9AE}" pid="14" name="Objective-Path">
    <vt:lpwstr>Objective Global Folder:#Business File Plan:WG Organisational Groups:Post April 2024 - Corporate Services &amp; Inspectorates:Corporate Services &amp; Inspectorates (CSI) - Communications:1 - Save:Communications - Digital:Corporate Digital Team 2019-2025:Corporate Digital Team - Web Content - Public Sector - 2019-2023:Public sector procurement:</vt:lpwstr>
  </op:property>
  <op:property fmtid="{D5CDD505-2E9C-101B-9397-08002B2CF9AE}" pid="15" name="Objective-Parent">
    <vt:lpwstr>Public sector procurement</vt:lpwstr>
  </op:property>
  <op:property fmtid="{D5CDD505-2E9C-101B-9397-08002B2CF9AE}" pid="16" name="Objective-State">
    <vt:lpwstr>Published</vt:lpwstr>
  </op:property>
  <op:property fmtid="{D5CDD505-2E9C-101B-9397-08002B2CF9AE}" pid="17" name="Objective-VersionId">
    <vt:lpwstr>vA104287607</vt:lpwstr>
  </op:property>
  <op:property fmtid="{D5CDD505-2E9C-101B-9397-08002B2CF9AE}" pid="18" name="Objective-Version">
    <vt:lpwstr>1.0</vt:lpwstr>
  </op:property>
  <op:property fmtid="{D5CDD505-2E9C-101B-9397-08002B2CF9AE}" pid="19" name="Objective-VersionNumber">
    <vt:r8>1</vt:r8>
  </op:property>
  <op:property fmtid="{D5CDD505-2E9C-101B-9397-08002B2CF9AE}" pid="20" name="Objective-VersionComment">
    <vt:lpwstr>Copied from document A56869638.9</vt:lpwstr>
  </op:property>
  <op:property fmtid="{D5CDD505-2E9C-101B-9397-08002B2CF9AE}" pid="21" name="Objective-FileNumber">
    <vt:lpwstr/>
  </op:property>
  <op:property fmtid="{D5CDD505-2E9C-101B-9397-08002B2CF9AE}" pid="22" name="Objective-Classification">
    <vt:lpwstr>[Inherited - Official]</vt:lpwstr>
  </op:property>
  <op:property fmtid="{D5CDD505-2E9C-101B-9397-08002B2CF9AE}" pid="23" name="Objective-Caveats">
    <vt:lpwstr/>
  </op:property>
  <op:property fmtid="{D5CDD505-2E9C-101B-9397-08002B2CF9AE}" pid="24" name="Objective-Date Acquired">
    <vt:lpwstr/>
  </op:property>
  <op:property fmtid="{D5CDD505-2E9C-101B-9397-08002B2CF9AE}" pid="25" name="Objective-Official Translation">
    <vt:lpwstr/>
  </op:property>
  <op:property fmtid="{D5CDD505-2E9C-101B-9397-08002B2CF9AE}" pid="26" name="Objective-Connect Creator">
    <vt:lpwstr/>
  </op:property>
</op:Properties>
</file>