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drawings/drawing1.xml" ContentType="application/vnd.openxmlformats-officedocument.drawingml.chartshapes+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header7.xml" ContentType="application/vnd.openxmlformats-officedocument.wordprocessingml.header+xml"/>
  <Override PartName="/word/header8.xml" ContentType="application/vnd.openxmlformats-officedocument.wordprocessingml.header+xml"/>
  <Override PartName="/word/footer3.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4.xml" ContentType="application/vnd.openxmlformats-officedocument.wordprocessingml.footer+xml"/>
  <Override PartName="/word/header12.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F7C691" w14:textId="3F671538" w:rsidR="003F0597" w:rsidRPr="00015203" w:rsidRDefault="00BD31B8" w:rsidP="007A3EF7">
      <w:pPr>
        <w:pStyle w:val="Documenttitle"/>
        <w:rPr>
          <w:color w:val="A6A6A6" w:themeColor="background1" w:themeShade="A6"/>
          <w:szCs w:val="22"/>
        </w:rPr>
      </w:pPr>
      <w:r>
        <w:rPr>
          <w:noProof/>
        </w:rPr>
        <w:drawing>
          <wp:anchor distT="0" distB="0" distL="114300" distR="114300" simplePos="0" relativeHeight="251664413" behindDoc="1" locked="0" layoutInCell="1" allowOverlap="1" wp14:anchorId="17311102" wp14:editId="0C2C7701">
            <wp:simplePos x="0" y="0"/>
            <wp:positionH relativeFrom="column">
              <wp:posOffset>-664045</wp:posOffset>
            </wp:positionH>
            <wp:positionV relativeFrom="paragraph">
              <wp:posOffset>-892175</wp:posOffset>
            </wp:positionV>
            <wp:extent cx="2110849" cy="1187533"/>
            <wp:effectExtent l="0" t="0" r="3810" b="0"/>
            <wp:wrapNone/>
            <wp:docPr id="1827328150"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328150" name="Picture 1827328150"/>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10849" cy="1187533"/>
                    </a:xfrm>
                    <a:prstGeom prst="rect">
                      <a:avLst/>
                    </a:prstGeom>
                  </pic:spPr>
                </pic:pic>
              </a:graphicData>
            </a:graphic>
            <wp14:sizeRelH relativeFrom="margin">
              <wp14:pctWidth>0</wp14:pctWidth>
            </wp14:sizeRelH>
            <wp14:sizeRelV relativeFrom="margin">
              <wp14:pctHeight>0</wp14:pctHeight>
            </wp14:sizeRelV>
          </wp:anchor>
        </w:drawing>
      </w:r>
      <w:r w:rsidR="00E36818" w:rsidRPr="00015203">
        <w:rPr>
          <w:noProof/>
          <w:lang w:eastAsia="en-GB"/>
        </w:rPr>
        <w:drawing>
          <wp:anchor distT="0" distB="0" distL="114300" distR="114300" simplePos="0" relativeHeight="251658245" behindDoc="1" locked="0" layoutInCell="1" allowOverlap="1" wp14:anchorId="7381CF04" wp14:editId="17B1B632">
            <wp:simplePos x="0" y="0"/>
            <wp:positionH relativeFrom="page">
              <wp:posOffset>0</wp:posOffset>
            </wp:positionH>
            <wp:positionV relativeFrom="paragraph">
              <wp:posOffset>-1026795</wp:posOffset>
            </wp:positionV>
            <wp:extent cx="7565390" cy="10691495"/>
            <wp:effectExtent l="0" t="0" r="0" b="0"/>
            <wp:wrapNone/>
            <wp:docPr id="35" name="Picture 35"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Artboard 27 copy 26.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565390" cy="10691495"/>
                    </a:xfrm>
                    <a:prstGeom prst="rect">
                      <a:avLst/>
                    </a:prstGeom>
                  </pic:spPr>
                </pic:pic>
              </a:graphicData>
            </a:graphic>
            <wp14:sizeRelH relativeFrom="page">
              <wp14:pctWidth>0</wp14:pctWidth>
            </wp14:sizeRelH>
            <wp14:sizeRelV relativeFrom="page">
              <wp14:pctHeight>0</wp14:pctHeight>
            </wp14:sizeRelV>
          </wp:anchor>
        </w:drawing>
      </w:r>
      <w:r w:rsidR="0087178C" w:rsidRPr="00015203">
        <w:rPr>
          <w:noProof/>
          <w:lang w:eastAsia="en-GB"/>
        </w:rPr>
        <w:drawing>
          <wp:anchor distT="0" distB="0" distL="114300" distR="114300" simplePos="0" relativeHeight="251658246" behindDoc="0" locked="0" layoutInCell="1" allowOverlap="1" wp14:anchorId="6BA219BE" wp14:editId="2865CC8B">
            <wp:simplePos x="0" y="0"/>
            <wp:positionH relativeFrom="column">
              <wp:posOffset>4975860</wp:posOffset>
            </wp:positionH>
            <wp:positionV relativeFrom="paragraph">
              <wp:posOffset>-890036</wp:posOffset>
            </wp:positionV>
            <wp:extent cx="1102995" cy="1103630"/>
            <wp:effectExtent l="0" t="0" r="1905" b="127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centre-for-economics-and-business-research-cebr-logo-vector.png"/>
                    <pic:cNvPicPr/>
                  </pic:nvPicPr>
                  <pic:blipFill rotWithShape="1">
                    <a:blip r:embed="rId11" cstate="print">
                      <a:extLst>
                        <a:ext uri="{28A0092B-C50C-407E-A947-70E740481C1C}">
                          <a14:useLocalDpi xmlns:a14="http://schemas.microsoft.com/office/drawing/2010/main" val="0"/>
                        </a:ext>
                      </a:extLst>
                    </a:blip>
                    <a:srcRect l="23518" t="2617" r="23880" b="2657"/>
                    <a:stretch/>
                  </pic:blipFill>
                  <pic:spPr bwMode="auto">
                    <a:xfrm>
                      <a:off x="0" y="0"/>
                      <a:ext cx="1102995" cy="11036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D13F7" w:rsidRPr="00015203">
        <w:softHyphen/>
      </w:r>
      <w:r w:rsidR="005D13F7" w:rsidRPr="00015203">
        <w:softHyphen/>
      </w:r>
    </w:p>
    <w:p w14:paraId="2289716F" w14:textId="7FF801A3" w:rsidR="003F0597" w:rsidRPr="00015203" w:rsidRDefault="00280D94" w:rsidP="007A3EF7">
      <w:pPr>
        <w:pStyle w:val="Documenttitle"/>
      </w:pPr>
      <w:r w:rsidRPr="00015203">
        <w:softHyphen/>
      </w:r>
      <w:r w:rsidRPr="00015203">
        <w:softHyphen/>
      </w:r>
      <w:r w:rsidRPr="00015203">
        <w:softHyphen/>
      </w:r>
      <w:r w:rsidRPr="00015203">
        <w:softHyphen/>
      </w:r>
      <w:r w:rsidRPr="00015203">
        <w:softHyphen/>
      </w:r>
      <w:r w:rsidRPr="00015203">
        <w:softHyphen/>
      </w:r>
      <w:r w:rsidRPr="00015203">
        <w:softHyphen/>
      </w:r>
      <w:r w:rsidRPr="00015203">
        <w:softHyphen/>
      </w:r>
      <w:r w:rsidRPr="00015203">
        <w:softHyphen/>
      </w:r>
      <w:r w:rsidRPr="00015203">
        <w:softHyphen/>
      </w:r>
    </w:p>
    <w:p w14:paraId="0DD1711D" w14:textId="77777777" w:rsidR="003F0597" w:rsidRPr="00015203" w:rsidRDefault="003F0597" w:rsidP="007A3EF7">
      <w:pPr>
        <w:pStyle w:val="Documenttitle"/>
      </w:pPr>
    </w:p>
    <w:p w14:paraId="36ED2B72" w14:textId="0F2384A0" w:rsidR="003F0597" w:rsidRPr="00015203" w:rsidRDefault="003F0597" w:rsidP="007A3EF7">
      <w:pPr>
        <w:pStyle w:val="Documenttitle"/>
      </w:pPr>
    </w:p>
    <w:p w14:paraId="43A879F3" w14:textId="77777777" w:rsidR="003F0597" w:rsidRPr="00015203" w:rsidRDefault="003F0597" w:rsidP="007A3EF7">
      <w:pPr>
        <w:pStyle w:val="Documenttitle"/>
      </w:pPr>
    </w:p>
    <w:p w14:paraId="315B2855" w14:textId="77777777" w:rsidR="003F0597" w:rsidRPr="00015203" w:rsidRDefault="003F0597" w:rsidP="007A3EF7">
      <w:pPr>
        <w:pStyle w:val="Documenttitle"/>
      </w:pPr>
    </w:p>
    <w:p w14:paraId="1127228B" w14:textId="719A16BC" w:rsidR="003F0597" w:rsidRPr="00015203" w:rsidRDefault="003F0597" w:rsidP="007A3EF7">
      <w:pPr>
        <w:pStyle w:val="Documenttitle"/>
      </w:pPr>
      <w:bookmarkStart w:id="0" w:name="_Hlk97477893"/>
      <w:bookmarkEnd w:id="0"/>
    </w:p>
    <w:p w14:paraId="2564E3EC" w14:textId="25084B97" w:rsidR="003F0597" w:rsidRPr="00015203" w:rsidRDefault="003F0597" w:rsidP="007A3EF7">
      <w:pPr>
        <w:pStyle w:val="Documenttitle"/>
      </w:pPr>
    </w:p>
    <w:p w14:paraId="2A889BC5" w14:textId="720F2896" w:rsidR="003F0597" w:rsidRPr="00015203" w:rsidRDefault="003F0597" w:rsidP="007A3EF7">
      <w:pPr>
        <w:pStyle w:val="Documenttitle"/>
      </w:pPr>
    </w:p>
    <w:p w14:paraId="55CC8F89" w14:textId="42A0F341" w:rsidR="003F0597" w:rsidRPr="00015203" w:rsidRDefault="003F0597" w:rsidP="007A3EF7">
      <w:pPr>
        <w:pStyle w:val="Documenttitle"/>
      </w:pPr>
    </w:p>
    <w:p w14:paraId="23AB52BD" w14:textId="77777777" w:rsidR="003F0597" w:rsidRPr="00015203" w:rsidRDefault="003F0597" w:rsidP="007A3EF7">
      <w:pPr>
        <w:pStyle w:val="Documenttitle"/>
      </w:pPr>
    </w:p>
    <w:p w14:paraId="7E91D993" w14:textId="4E580B12" w:rsidR="003F0597" w:rsidRPr="00015203" w:rsidRDefault="003F0597" w:rsidP="007A3EF7">
      <w:pPr>
        <w:pStyle w:val="Documenttitle"/>
      </w:pPr>
    </w:p>
    <w:p w14:paraId="3C54D018" w14:textId="241DFAD6" w:rsidR="003F0597" w:rsidRPr="00015203" w:rsidRDefault="003F0597" w:rsidP="007A3EF7">
      <w:pPr>
        <w:pStyle w:val="Documenttitle"/>
      </w:pPr>
    </w:p>
    <w:p w14:paraId="0A0A1DD6" w14:textId="66A14B45" w:rsidR="00053902" w:rsidRPr="00015203" w:rsidRDefault="00B54F40" w:rsidP="007A3EF7">
      <w:pPr>
        <w:pStyle w:val="Documenttitle"/>
      </w:pPr>
      <w:r w:rsidRPr="00015203">
        <w:tab/>
      </w:r>
    </w:p>
    <w:p w14:paraId="2C5860C1" w14:textId="78EDEA4D" w:rsidR="00C77814" w:rsidRPr="00015203" w:rsidRDefault="00C77814" w:rsidP="00C77814">
      <w:pPr>
        <w:spacing w:after="0"/>
        <w:rPr>
          <w:color w:val="404040" w:themeColor="text1" w:themeTint="BF"/>
          <w:sz w:val="40"/>
          <w:szCs w:val="40"/>
        </w:rPr>
      </w:pPr>
      <w:r w:rsidRPr="00015203">
        <w:rPr>
          <w:color w:val="404040" w:themeColor="text1" w:themeTint="BF"/>
          <w:sz w:val="40"/>
          <w:szCs w:val="40"/>
        </w:rPr>
        <w:t xml:space="preserve">Assessing </w:t>
      </w:r>
      <w:r w:rsidR="00683D5D" w:rsidRPr="00015203">
        <w:rPr>
          <w:color w:val="404040" w:themeColor="text1" w:themeTint="BF"/>
          <w:sz w:val="40"/>
          <w:szCs w:val="40"/>
        </w:rPr>
        <w:t>w</w:t>
      </w:r>
      <w:r w:rsidRPr="00015203">
        <w:rPr>
          <w:color w:val="404040" w:themeColor="text1" w:themeTint="BF"/>
          <w:sz w:val="40"/>
          <w:szCs w:val="40"/>
        </w:rPr>
        <w:t xml:space="preserve">orkforce </w:t>
      </w:r>
      <w:r w:rsidR="00683D5D" w:rsidRPr="00015203">
        <w:rPr>
          <w:color w:val="404040" w:themeColor="text1" w:themeTint="BF"/>
          <w:sz w:val="40"/>
          <w:szCs w:val="40"/>
        </w:rPr>
        <w:t>r</w:t>
      </w:r>
      <w:r w:rsidRPr="00015203">
        <w:rPr>
          <w:color w:val="404040" w:themeColor="text1" w:themeTint="BF"/>
          <w:sz w:val="40"/>
          <w:szCs w:val="40"/>
        </w:rPr>
        <w:t xml:space="preserve">equirements </w:t>
      </w:r>
    </w:p>
    <w:p w14:paraId="10CA3F01" w14:textId="58C27037" w:rsidR="00C77814" w:rsidRPr="00015203" w:rsidRDefault="00C77814" w:rsidP="00C77814">
      <w:pPr>
        <w:spacing w:after="0"/>
        <w:rPr>
          <w:color w:val="404040" w:themeColor="text1" w:themeTint="BF"/>
          <w:sz w:val="40"/>
          <w:szCs w:val="40"/>
        </w:rPr>
      </w:pPr>
      <w:r w:rsidRPr="00015203">
        <w:rPr>
          <w:color w:val="404040" w:themeColor="text1" w:themeTint="BF"/>
          <w:sz w:val="40"/>
          <w:szCs w:val="40"/>
        </w:rPr>
        <w:t xml:space="preserve">for </w:t>
      </w:r>
      <w:r w:rsidR="00683D5D" w:rsidRPr="00015203">
        <w:rPr>
          <w:color w:val="404040" w:themeColor="text1" w:themeTint="BF"/>
          <w:sz w:val="40"/>
          <w:szCs w:val="40"/>
        </w:rPr>
        <w:t>h</w:t>
      </w:r>
      <w:r w:rsidRPr="00015203">
        <w:rPr>
          <w:color w:val="404040" w:themeColor="text1" w:themeTint="BF"/>
          <w:sz w:val="40"/>
          <w:szCs w:val="40"/>
        </w:rPr>
        <w:t xml:space="preserve">ome </w:t>
      </w:r>
      <w:r w:rsidR="00683D5D" w:rsidRPr="00015203">
        <w:rPr>
          <w:color w:val="404040" w:themeColor="text1" w:themeTint="BF"/>
          <w:sz w:val="40"/>
          <w:szCs w:val="40"/>
        </w:rPr>
        <w:t>r</w:t>
      </w:r>
      <w:r w:rsidRPr="00015203">
        <w:rPr>
          <w:color w:val="404040" w:themeColor="text1" w:themeTint="BF"/>
          <w:sz w:val="40"/>
          <w:szCs w:val="40"/>
        </w:rPr>
        <w:t>etrofitting</w:t>
      </w:r>
      <w:r w:rsidR="00BD50EE">
        <w:rPr>
          <w:color w:val="404040" w:themeColor="text1" w:themeTint="BF"/>
          <w:sz w:val="40"/>
          <w:szCs w:val="40"/>
        </w:rPr>
        <w:t xml:space="preserve"> in Wales</w:t>
      </w:r>
    </w:p>
    <w:p w14:paraId="1B925F21" w14:textId="77777777" w:rsidR="003F0597" w:rsidRPr="00015203" w:rsidRDefault="003F0597" w:rsidP="003F0597">
      <w:pPr>
        <w:pStyle w:val="Documentsubtitle"/>
        <w:tabs>
          <w:tab w:val="left" w:pos="7125"/>
          <w:tab w:val="left" w:pos="7701"/>
        </w:tabs>
        <w:rPr>
          <w:color w:val="404040" w:themeColor="text1" w:themeTint="BF"/>
        </w:rPr>
      </w:pPr>
      <w:r w:rsidRPr="00015203">
        <w:rPr>
          <w:noProof/>
          <w:color w:val="404040" w:themeColor="text1" w:themeTint="BF"/>
          <w:lang w:eastAsia="en-GB"/>
        </w:rPr>
        <mc:AlternateContent>
          <mc:Choice Requires="wps">
            <w:drawing>
              <wp:anchor distT="0" distB="0" distL="114300" distR="114300" simplePos="0" relativeHeight="251658244" behindDoc="0" locked="0" layoutInCell="1" allowOverlap="1" wp14:anchorId="72E0668B" wp14:editId="4FD58070">
                <wp:simplePos x="0" y="0"/>
                <wp:positionH relativeFrom="column">
                  <wp:posOffset>12700</wp:posOffset>
                </wp:positionH>
                <wp:positionV relativeFrom="paragraph">
                  <wp:posOffset>175895</wp:posOffset>
                </wp:positionV>
                <wp:extent cx="3155950" cy="0"/>
                <wp:effectExtent l="0" t="0" r="6350" b="12700"/>
                <wp:wrapNone/>
                <wp:docPr id="17" name="Straight Connector 17"/>
                <wp:cNvGraphicFramePr/>
                <a:graphic xmlns:a="http://schemas.openxmlformats.org/drawingml/2006/main">
                  <a:graphicData uri="http://schemas.microsoft.com/office/word/2010/wordprocessingShape">
                    <wps:wsp>
                      <wps:cNvCnPr/>
                      <wps:spPr>
                        <a:xfrm>
                          <a:off x="0" y="0"/>
                          <a:ext cx="3155950" cy="0"/>
                        </a:xfrm>
                        <a:prstGeom prst="line">
                          <a:avLst/>
                        </a:prstGeom>
                        <a:ln w="15875">
                          <a:solidFill>
                            <a:schemeClr val="bg2">
                              <a:lumMod val="2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v:line id="Straight Connector 17" style="position:absolute;z-index:2516572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84329 [814]" strokeweight="1.25pt" from="1pt,13.85pt" to="249.5pt,13.85pt" w14:anchorId="066BC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"/>
            </w:pict>
          </mc:Fallback>
        </mc:AlternateContent>
      </w:r>
      <w:r w:rsidRPr="00015203">
        <w:rPr>
          <w:color w:val="404040" w:themeColor="text1" w:themeTint="BF"/>
        </w:rPr>
        <w:tab/>
      </w:r>
      <w:r w:rsidRPr="00015203">
        <w:rPr>
          <w:color w:val="404040" w:themeColor="text1" w:themeTint="BF"/>
        </w:rPr>
        <w:tab/>
      </w:r>
    </w:p>
    <w:p w14:paraId="6A4E6721" w14:textId="728964B4" w:rsidR="00C77814" w:rsidRPr="00015203" w:rsidRDefault="75F4CBC3" w:rsidP="096B2833">
      <w:pPr>
        <w:pStyle w:val="Documentsubtitle"/>
        <w:rPr>
          <w:color w:val="404040" w:themeColor="text1" w:themeTint="BF"/>
        </w:rPr>
      </w:pPr>
      <w:r w:rsidRPr="20360C96">
        <w:rPr>
          <w:color w:val="404040" w:themeColor="text1" w:themeTint="BF"/>
        </w:rPr>
        <w:t xml:space="preserve">A </w:t>
      </w:r>
      <w:r w:rsidR="07B1AA84" w:rsidRPr="20360C96">
        <w:rPr>
          <w:color w:val="404040" w:themeColor="text1" w:themeTint="BF"/>
        </w:rPr>
        <w:t xml:space="preserve">Cebr </w:t>
      </w:r>
      <w:r w:rsidRPr="20360C96">
        <w:rPr>
          <w:color w:val="404040" w:themeColor="text1" w:themeTint="BF"/>
        </w:rPr>
        <w:t xml:space="preserve">report for </w:t>
      </w:r>
      <w:r w:rsidR="302EC5DD" w:rsidRPr="20360C96">
        <w:rPr>
          <w:color w:val="404040" w:themeColor="text1" w:themeTint="BF"/>
        </w:rPr>
        <w:t xml:space="preserve">the Welsh Government </w:t>
      </w:r>
    </w:p>
    <w:p w14:paraId="26404CF7" w14:textId="05CB994D" w:rsidR="000242CF" w:rsidRPr="00015203" w:rsidRDefault="0088735F" w:rsidP="000242CF">
      <w:pPr>
        <w:pStyle w:val="Documentoutline"/>
        <w:rPr>
          <w:rFonts w:ascii="Helvetica Neue LT Std 65 Medium" w:hAnsi="Helvetica Neue LT Std 65 Medium"/>
          <w:color w:val="404040" w:themeColor="text1" w:themeTint="BF"/>
          <w:szCs w:val="36"/>
        </w:rPr>
      </w:pPr>
      <w:r>
        <w:rPr>
          <w:rFonts w:ascii="Helvetica Neue LT Std 65 Medium" w:hAnsi="Helvetica Neue LT Std 65 Medium"/>
          <w:color w:val="404040" w:themeColor="text1" w:themeTint="BF"/>
          <w:szCs w:val="36"/>
        </w:rPr>
        <w:t>Februa</w:t>
      </w:r>
      <w:r w:rsidR="00C77814" w:rsidRPr="00015203">
        <w:rPr>
          <w:rFonts w:ascii="Helvetica Neue LT Std 65 Medium" w:hAnsi="Helvetica Neue LT Std 65 Medium"/>
          <w:color w:val="404040" w:themeColor="text1" w:themeTint="BF"/>
          <w:szCs w:val="36"/>
        </w:rPr>
        <w:t>ry</w:t>
      </w:r>
      <w:r w:rsidR="008D6537" w:rsidRPr="00015203">
        <w:rPr>
          <w:rFonts w:ascii="Helvetica Neue LT Std 65 Medium" w:hAnsi="Helvetica Neue LT Std 65 Medium"/>
          <w:color w:val="404040" w:themeColor="text1" w:themeTint="BF"/>
          <w:szCs w:val="36"/>
        </w:rPr>
        <w:t xml:space="preserve"> </w:t>
      </w:r>
      <w:r w:rsidR="009C40F5" w:rsidRPr="00015203">
        <w:rPr>
          <w:rFonts w:ascii="Helvetica Neue LT Std 65 Medium" w:hAnsi="Helvetica Neue LT Std 65 Medium"/>
          <w:color w:val="404040" w:themeColor="text1" w:themeTint="BF"/>
          <w:szCs w:val="36"/>
        </w:rPr>
        <w:t>202</w:t>
      </w:r>
      <w:r w:rsidR="00C77814" w:rsidRPr="00015203">
        <w:rPr>
          <w:rFonts w:ascii="Helvetica Neue LT Std 65 Medium" w:hAnsi="Helvetica Neue LT Std 65 Medium"/>
          <w:color w:val="404040" w:themeColor="text1" w:themeTint="BF"/>
          <w:szCs w:val="36"/>
        </w:rPr>
        <w:t>6</w:t>
      </w:r>
    </w:p>
    <w:tbl>
      <w:tblPr>
        <w:tblStyle w:val="TableGrid"/>
        <w:tblW w:w="8220" w:type="dxa"/>
        <w:tblInd w:w="49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110"/>
        <w:gridCol w:w="4110"/>
      </w:tblGrid>
      <w:tr w:rsidR="00525390" w:rsidRPr="00015203" w14:paraId="479D7FBA" w14:textId="77777777" w:rsidTr="00525390">
        <w:trPr>
          <w:trHeight w:val="14034"/>
        </w:trPr>
        <w:tc>
          <w:tcPr>
            <w:tcW w:w="4110" w:type="dxa"/>
            <w:vAlign w:val="bottom"/>
          </w:tcPr>
          <w:p w14:paraId="0BD561AC" w14:textId="77777777" w:rsidR="00525390" w:rsidRPr="00015203" w:rsidRDefault="00525390" w:rsidP="007F232D">
            <w:pPr>
              <w:pStyle w:val="Disclaimer"/>
              <w:rPr>
                <w:rFonts w:ascii="Helvetica Neue LT Std 65 Medium" w:hAnsi="Helvetica Neue LT Std 65 Medium"/>
              </w:rPr>
            </w:pPr>
          </w:p>
          <w:p w14:paraId="1410B0F8" w14:textId="77777777" w:rsidR="00525390" w:rsidRPr="00015203" w:rsidRDefault="00525390" w:rsidP="007F232D">
            <w:pPr>
              <w:pStyle w:val="Disclaimer"/>
              <w:rPr>
                <w:rFonts w:ascii="Helvetica Neue LT Std 65 Medium" w:hAnsi="Helvetica Neue LT Std 65 Medium"/>
              </w:rPr>
            </w:pPr>
          </w:p>
          <w:p w14:paraId="5F61D762" w14:textId="77777777" w:rsidR="00525390" w:rsidRPr="00015203" w:rsidRDefault="00525390" w:rsidP="007F232D">
            <w:pPr>
              <w:pStyle w:val="Disclaimer"/>
              <w:rPr>
                <w:rFonts w:ascii="Helvetica Neue LT Std 65 Medium" w:hAnsi="Helvetica Neue LT Std 65 Medium"/>
              </w:rPr>
            </w:pPr>
          </w:p>
          <w:p w14:paraId="4790BAC5" w14:textId="77777777" w:rsidR="00525390" w:rsidRPr="00015203" w:rsidRDefault="00525390" w:rsidP="007F232D">
            <w:pPr>
              <w:pStyle w:val="Disclaimer"/>
              <w:rPr>
                <w:rFonts w:ascii="Helvetica Neue LT Std 65 Medium" w:hAnsi="Helvetica Neue LT Std 65 Medium"/>
              </w:rPr>
            </w:pPr>
          </w:p>
          <w:p w14:paraId="1659EE30" w14:textId="77777777" w:rsidR="00525390" w:rsidRPr="00015203" w:rsidRDefault="00525390" w:rsidP="007F232D">
            <w:pPr>
              <w:pStyle w:val="Disclaimer"/>
              <w:rPr>
                <w:rFonts w:ascii="Helvetica Neue LT Std 65 Medium" w:hAnsi="Helvetica Neue LT Std 65 Medium"/>
              </w:rPr>
            </w:pPr>
          </w:p>
          <w:p w14:paraId="13135A04" w14:textId="3AE843A3" w:rsidR="00525390" w:rsidRPr="00015203" w:rsidRDefault="00525390" w:rsidP="007F232D">
            <w:pPr>
              <w:pStyle w:val="Disclaimer"/>
              <w:rPr>
                <w:rFonts w:ascii="Helvetica Neue LT Std 65 Medium" w:hAnsi="Helvetica Neue LT Std 65 Medium"/>
              </w:rPr>
            </w:pPr>
          </w:p>
          <w:p w14:paraId="6871163B" w14:textId="77777777" w:rsidR="00525390" w:rsidRPr="00015203" w:rsidRDefault="00525390" w:rsidP="007F232D">
            <w:pPr>
              <w:pStyle w:val="Disclaimer"/>
              <w:rPr>
                <w:rFonts w:ascii="Helvetica Neue LT Std 65 Medium" w:hAnsi="Helvetica Neue LT Std 65 Medium"/>
              </w:rPr>
            </w:pPr>
          </w:p>
          <w:p w14:paraId="556EB9E9" w14:textId="77777777" w:rsidR="00525390" w:rsidRPr="00015203" w:rsidRDefault="00525390" w:rsidP="007F232D">
            <w:pPr>
              <w:pStyle w:val="Disclaimer"/>
              <w:rPr>
                <w:rFonts w:ascii="Helvetica Neue LT Std 65 Medium" w:hAnsi="Helvetica Neue LT Std 65 Medium"/>
              </w:rPr>
            </w:pPr>
            <w:r w:rsidRPr="00015203">
              <w:rPr>
                <w:rFonts w:ascii="Helvetica Neue LT Std 65 Medium" w:hAnsi="Helvetica Neue LT Std 65 Medium"/>
                <w:noProof/>
                <w:lang w:eastAsia="en-GB"/>
              </w:rPr>
              <mc:AlternateContent>
                <mc:Choice Requires="wps">
                  <w:drawing>
                    <wp:anchor distT="0" distB="0" distL="114300" distR="114300" simplePos="0" relativeHeight="251658243" behindDoc="0" locked="0" layoutInCell="1" allowOverlap="1" wp14:anchorId="6F378F16" wp14:editId="53F3ECEF">
                      <wp:simplePos x="0" y="0"/>
                      <wp:positionH relativeFrom="column">
                        <wp:posOffset>-19685</wp:posOffset>
                      </wp:positionH>
                      <wp:positionV relativeFrom="paragraph">
                        <wp:posOffset>80645</wp:posOffset>
                      </wp:positionV>
                      <wp:extent cx="2623820" cy="12700"/>
                      <wp:effectExtent l="0" t="0" r="24130" b="25400"/>
                      <wp:wrapNone/>
                      <wp:docPr id="2" name="Straight Connector 2"/>
                      <wp:cNvGraphicFramePr/>
                      <a:graphic xmlns:a="http://schemas.openxmlformats.org/drawingml/2006/main">
                        <a:graphicData uri="http://schemas.microsoft.com/office/word/2010/wordprocessingShape">
                          <wps:wsp>
                            <wps:cNvCnPr/>
                            <wps:spPr>
                              <a:xfrm>
                                <a:off x="0" y="0"/>
                                <a:ext cx="2623820" cy="12700"/>
                              </a:xfrm>
                              <a:prstGeom prst="line">
                                <a:avLst/>
                              </a:prstGeom>
                              <a:ln w="158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v:line id="Straight Connector 2" style="position:absolute;z-index:2516572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a5a5a5 [2092]" strokeweight="1.25pt" from="-1.55pt,6.35pt" to="205.05pt,7.35pt" w14:anchorId="146B9DB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"/>
                  </w:pict>
                </mc:Fallback>
              </mc:AlternateContent>
            </w:r>
          </w:p>
          <w:p w14:paraId="13DF0FBE" w14:textId="77777777" w:rsidR="00525390" w:rsidRPr="00015203" w:rsidRDefault="00525390" w:rsidP="007F232D">
            <w:pPr>
              <w:pStyle w:val="Disclaimer"/>
              <w:rPr>
                <w:rFonts w:ascii="Helvetica Neue LT Std 65 Medium" w:hAnsi="Helvetica Neue LT Std 65 Medium"/>
              </w:rPr>
            </w:pPr>
          </w:p>
          <w:p w14:paraId="6F6B954E" w14:textId="77777777" w:rsidR="00525390" w:rsidRPr="00015203" w:rsidRDefault="00525390" w:rsidP="007F232D">
            <w:pPr>
              <w:pStyle w:val="Disclaimer"/>
              <w:rPr>
                <w:rFonts w:ascii="Helvetica Neue LT Std 65 Medium" w:hAnsi="Helvetica Neue LT Std 65 Medium"/>
                <w:b/>
              </w:rPr>
            </w:pPr>
            <w:r w:rsidRPr="00015203">
              <w:rPr>
                <w:rFonts w:ascii="Helvetica Neue LT Std 65 Medium" w:hAnsi="Helvetica Neue LT Std 65 Medium"/>
                <w:b/>
              </w:rPr>
              <w:t>Disclaimer</w:t>
            </w:r>
          </w:p>
          <w:p w14:paraId="0D4BD4C3" w14:textId="703A76DC" w:rsidR="00CD0FD5" w:rsidRPr="00015203" w:rsidRDefault="00525390" w:rsidP="007F232D">
            <w:pPr>
              <w:pStyle w:val="Disclaimer"/>
              <w:rPr>
                <w:rFonts w:ascii="Helvetica Neue LT Std 65 Medium" w:hAnsi="Helvetica Neue LT Std 65 Medium"/>
              </w:rPr>
            </w:pPr>
            <w:r w:rsidRPr="00015203">
              <w:rPr>
                <w:rFonts w:ascii="Helvetica Neue LT Std 65 Medium" w:hAnsi="Helvetica Neue LT Std 65 Medium"/>
              </w:rPr>
              <w:t xml:space="preserve">Whilst every effort has been made to ensure the accuracy of the material in this document, neither Centre for Economics and Business Research Ltd nor the report’s authors will be liable for any loss or damages incurred </w:t>
            </w:r>
            <w:proofErr w:type="gramStart"/>
            <w:r w:rsidRPr="00015203">
              <w:rPr>
                <w:rFonts w:ascii="Helvetica Neue LT Std 65 Medium" w:hAnsi="Helvetica Neue LT Std 65 Medium"/>
              </w:rPr>
              <w:t>through the use of</w:t>
            </w:r>
            <w:proofErr w:type="gramEnd"/>
            <w:r w:rsidRPr="00015203">
              <w:rPr>
                <w:rFonts w:ascii="Helvetica Neue LT Std 65 Medium" w:hAnsi="Helvetica Neue LT Std 65 Medium"/>
              </w:rPr>
              <w:t xml:space="preserve"> the report.</w:t>
            </w:r>
            <w:r w:rsidR="00CD0FD5" w:rsidRPr="00015203">
              <w:rPr>
                <w:rFonts w:ascii="Helvetica Neue LT Std 65 Medium" w:hAnsi="Helvetica Neue LT Std 65 Medium"/>
              </w:rPr>
              <w:t xml:space="preserve"> </w:t>
            </w:r>
          </w:p>
          <w:p w14:paraId="312E0765" w14:textId="77777777" w:rsidR="00525390" w:rsidRPr="00015203" w:rsidRDefault="00525390" w:rsidP="007F232D">
            <w:pPr>
              <w:pStyle w:val="Disclaimer"/>
              <w:rPr>
                <w:rFonts w:ascii="Helvetica Neue LT Std 65 Medium" w:hAnsi="Helvetica Neue LT Std 65 Medium"/>
                <w:b/>
              </w:rPr>
            </w:pPr>
            <w:r w:rsidRPr="00015203">
              <w:rPr>
                <w:rFonts w:ascii="Helvetica Neue LT Std 65 Medium" w:hAnsi="Helvetica Neue LT Std 65 Medium"/>
                <w:b/>
              </w:rPr>
              <w:t>Authorship and acknowledgements</w:t>
            </w:r>
          </w:p>
          <w:p w14:paraId="4DDE7D44" w14:textId="240B222D" w:rsidR="00525390" w:rsidRPr="00015203" w:rsidRDefault="00525390" w:rsidP="007F232D">
            <w:pPr>
              <w:pStyle w:val="Disclaimer"/>
              <w:rPr>
                <w:rFonts w:ascii="Helvetica Neue LT Std 65 Medium" w:hAnsi="Helvetica Neue LT Std 65 Medium"/>
              </w:rPr>
            </w:pPr>
            <w:r w:rsidRPr="00015203">
              <w:rPr>
                <w:rFonts w:ascii="Helvetica Neue LT Std 65 Medium" w:hAnsi="Helvetica Neue LT Std 65 Medium"/>
              </w:rPr>
              <w:t>This report has been produced by Cebr, an independent economics and business research consultancy established in 1992. The views expressed herein are those of the authors only and are based upon independent research by them.</w:t>
            </w:r>
          </w:p>
          <w:p w14:paraId="0665B3A3" w14:textId="77777777" w:rsidR="00525390" w:rsidRPr="00015203" w:rsidRDefault="00525390" w:rsidP="007F232D">
            <w:pPr>
              <w:pStyle w:val="Disclaimer"/>
              <w:rPr>
                <w:rFonts w:ascii="Helvetica Neue LT Std 65 Medium" w:hAnsi="Helvetica Neue LT Std 65 Medium"/>
              </w:rPr>
            </w:pPr>
          </w:p>
          <w:p w14:paraId="06A9357B" w14:textId="5186A034" w:rsidR="00525390" w:rsidRPr="00015203" w:rsidRDefault="00525390" w:rsidP="007F232D">
            <w:pPr>
              <w:pStyle w:val="Disclaimer"/>
              <w:rPr>
                <w:rFonts w:ascii="Helvetica Neue LT Std 65 Medium" w:hAnsi="Helvetica Neue LT Std 65 Medium"/>
              </w:rPr>
            </w:pPr>
            <w:r w:rsidRPr="00015203">
              <w:rPr>
                <w:rFonts w:ascii="Helvetica Neue LT Std 65 Medium" w:hAnsi="Helvetica Neue LT Std 65 Medium"/>
              </w:rPr>
              <w:t xml:space="preserve">London, </w:t>
            </w:r>
            <w:r w:rsidR="0088735F">
              <w:rPr>
                <w:rFonts w:ascii="Helvetica Neue LT Std 65 Medium" w:hAnsi="Helvetica Neue LT Std 65 Medium"/>
              </w:rPr>
              <w:t>February</w:t>
            </w:r>
            <w:r w:rsidR="00683D5D" w:rsidRPr="00015203">
              <w:rPr>
                <w:rFonts w:ascii="Helvetica Neue LT Std 65 Medium" w:hAnsi="Helvetica Neue LT Std 65 Medium"/>
              </w:rPr>
              <w:t xml:space="preserve"> 2026</w:t>
            </w:r>
          </w:p>
        </w:tc>
        <w:tc>
          <w:tcPr>
            <w:tcW w:w="4110" w:type="dxa"/>
          </w:tcPr>
          <w:p w14:paraId="24756B2E" w14:textId="50FD1797" w:rsidR="00525390" w:rsidRPr="00015203" w:rsidRDefault="00525390" w:rsidP="007F232D">
            <w:pPr>
              <w:pStyle w:val="Disclaimer"/>
              <w:rPr>
                <w:rFonts w:ascii="Helvetica Neue LT Std 65 Medium" w:hAnsi="Helvetica Neue LT Std 65 Medium"/>
              </w:rPr>
            </w:pPr>
          </w:p>
        </w:tc>
      </w:tr>
    </w:tbl>
    <w:bookmarkStart w:id="1" w:name="_Toc489373415" w:displacedByCustomXml="next"/>
    <w:bookmarkEnd w:id="1" w:displacedByCustomXml="next"/>
    <w:bookmarkStart w:id="2" w:name="_Toc489373414" w:displacedByCustomXml="next"/>
    <w:bookmarkEnd w:id="2" w:displacedByCustomXml="next"/>
    <w:bookmarkStart w:id="3" w:name="_Toc489373412" w:displacedByCustomXml="next"/>
    <w:bookmarkEnd w:id="3" w:displacedByCustomXml="next"/>
    <w:bookmarkStart w:id="4" w:name="_Toc489373411" w:displacedByCustomXml="next"/>
    <w:bookmarkEnd w:id="4" w:displacedByCustomXml="next"/>
    <w:bookmarkStart w:id="5" w:name="_Toc527543590" w:displacedByCustomXml="next"/>
    <w:bookmarkEnd w:id="5" w:displacedByCustomXml="next"/>
    <w:bookmarkStart w:id="6" w:name="_Hlk93655165" w:displacedByCustomXml="next"/>
    <w:bookmarkStart w:id="7" w:name="_Toc17814056" w:displacedByCustomXml="next"/>
    <w:bookmarkStart w:id="8" w:name="_Toc17814123" w:displacedByCustomXml="next"/>
    <w:sdt>
      <w:sdtPr>
        <w:rPr>
          <w:rFonts w:ascii="Helvetica Neue LT Std 65 Medium" w:eastAsiaTheme="minorEastAsia" w:hAnsi="Helvetica Neue LT Std 65 Medium" w:cs="Times New Roman"/>
          <w:b w:val="0"/>
          <w:bCs w:val="0"/>
          <w:color w:val="40403E"/>
          <w:sz w:val="22"/>
          <w:szCs w:val="22"/>
          <w:lang w:val="en-GB" w:eastAsia="zh-TW"/>
        </w:rPr>
        <w:id w:val="1661264529"/>
        <w:docPartObj>
          <w:docPartGallery w:val="Table of Contents"/>
          <w:docPartUnique/>
        </w:docPartObj>
      </w:sdtPr>
      <w:sdtEndPr/>
      <w:sdtContent>
        <w:p w14:paraId="0039EF5F" w14:textId="2041DD1E" w:rsidR="008F062E" w:rsidRPr="00015203" w:rsidRDefault="008F062E">
          <w:pPr>
            <w:pStyle w:val="TOCHeading"/>
            <w:rPr>
              <w:rFonts w:ascii="Helvetica Neue LT Std 65 Medium" w:eastAsiaTheme="minorEastAsia" w:hAnsi="Helvetica Neue LT Std 65 Medium" w:cs="Times New Roman"/>
              <w:b w:val="0"/>
              <w:bCs w:val="0"/>
              <w:color w:val="40403E"/>
              <w:sz w:val="44"/>
              <w:szCs w:val="44"/>
              <w:lang w:val="en-GB" w:eastAsia="zh-TW"/>
            </w:rPr>
          </w:pPr>
          <w:r w:rsidRPr="00015203">
            <w:rPr>
              <w:rFonts w:ascii="Helvetica Neue LT Std 65 Medium" w:eastAsiaTheme="minorEastAsia" w:hAnsi="Helvetica Neue LT Std 65 Medium" w:cs="Times New Roman"/>
              <w:b w:val="0"/>
              <w:bCs w:val="0"/>
              <w:color w:val="40403E"/>
              <w:sz w:val="44"/>
              <w:szCs w:val="44"/>
              <w:lang w:val="en-GB" w:eastAsia="zh-TW"/>
            </w:rPr>
            <w:t>Contents</w:t>
          </w:r>
        </w:p>
        <w:p w14:paraId="6E177725" w14:textId="03DE5AC9" w:rsidR="002146E6" w:rsidRDefault="00A208F6">
          <w:pPr>
            <w:pStyle w:val="TOC1"/>
            <w:rPr>
              <w:rFonts w:asciiTheme="minorHAnsi" w:hAnsiTheme="minorHAnsi" w:cstheme="minorBidi"/>
              <w:b w:val="0"/>
              <w:bCs w:val="0"/>
              <w:noProof/>
              <w:color w:val="auto"/>
              <w:kern w:val="2"/>
              <w:lang w:eastAsia="en-GB"/>
              <w14:ligatures w14:val="standardContextual"/>
            </w:rPr>
          </w:pPr>
          <w:r w:rsidRPr="00015203">
            <w:rPr>
              <w:rFonts w:ascii="Helvetica Neue LT Std 65 Medium" w:hAnsi="Helvetica Neue LT Std 65 Medium" w:cs="Times New Roman"/>
              <w:b w:val="0"/>
              <w:bCs w:val="0"/>
              <w:sz w:val="22"/>
              <w:szCs w:val="22"/>
            </w:rPr>
            <w:fldChar w:fldCharType="begin"/>
          </w:r>
          <w:r w:rsidRPr="00015203">
            <w:rPr>
              <w:rFonts w:ascii="Helvetica Neue LT Std 65 Medium" w:hAnsi="Helvetica Neue LT Std 65 Medium" w:cs="Times New Roman"/>
              <w:b w:val="0"/>
              <w:bCs w:val="0"/>
              <w:sz w:val="22"/>
              <w:szCs w:val="22"/>
            </w:rPr>
            <w:instrText xml:space="preserve"> TOC \o "1-3" \h \z \u </w:instrText>
          </w:r>
          <w:r w:rsidRPr="00015203">
            <w:rPr>
              <w:rFonts w:ascii="Helvetica Neue LT Std 65 Medium" w:hAnsi="Helvetica Neue LT Std 65 Medium" w:cs="Times New Roman"/>
              <w:b w:val="0"/>
              <w:bCs w:val="0"/>
              <w:sz w:val="22"/>
              <w:szCs w:val="22"/>
            </w:rPr>
            <w:fldChar w:fldCharType="separate"/>
          </w:r>
          <w:hyperlink w:anchor="_Toc221182649" w:history="1">
            <w:r w:rsidR="002146E6" w:rsidRPr="009E4D06">
              <w:rPr>
                <w:rStyle w:val="Hyperlink"/>
                <w:rFonts w:ascii="Helvetica Neue LT Std 65 Medium" w:hAnsi="Helvetica Neue LT Std 65 Medium"/>
                <w:noProof/>
              </w:rPr>
              <w:t>Executive summary</w:t>
            </w:r>
            <w:r w:rsidR="002146E6">
              <w:rPr>
                <w:noProof/>
                <w:webHidden/>
              </w:rPr>
              <w:tab/>
            </w:r>
            <w:r w:rsidR="002146E6">
              <w:rPr>
                <w:noProof/>
                <w:webHidden/>
              </w:rPr>
              <w:fldChar w:fldCharType="begin"/>
            </w:r>
            <w:r w:rsidR="002146E6">
              <w:rPr>
                <w:noProof/>
                <w:webHidden/>
              </w:rPr>
              <w:instrText xml:space="preserve"> PAGEREF _Toc221182649 \h </w:instrText>
            </w:r>
            <w:r w:rsidR="002146E6">
              <w:rPr>
                <w:noProof/>
                <w:webHidden/>
              </w:rPr>
            </w:r>
            <w:r w:rsidR="002146E6">
              <w:rPr>
                <w:noProof/>
                <w:webHidden/>
              </w:rPr>
              <w:fldChar w:fldCharType="separate"/>
            </w:r>
            <w:r w:rsidR="002146E6">
              <w:rPr>
                <w:noProof/>
                <w:webHidden/>
              </w:rPr>
              <w:t>5</w:t>
            </w:r>
            <w:r w:rsidR="002146E6">
              <w:rPr>
                <w:noProof/>
                <w:webHidden/>
              </w:rPr>
              <w:fldChar w:fldCharType="end"/>
            </w:r>
          </w:hyperlink>
        </w:p>
        <w:p w14:paraId="1542C705" w14:textId="2F816F8C" w:rsidR="002146E6" w:rsidRDefault="002146E6">
          <w:pPr>
            <w:pStyle w:val="TOC1"/>
            <w:rPr>
              <w:rFonts w:asciiTheme="minorHAnsi" w:hAnsiTheme="minorHAnsi" w:cstheme="minorBidi"/>
              <w:b w:val="0"/>
              <w:bCs w:val="0"/>
              <w:noProof/>
              <w:color w:val="auto"/>
              <w:kern w:val="2"/>
              <w:lang w:eastAsia="en-GB"/>
              <w14:ligatures w14:val="standardContextual"/>
            </w:rPr>
          </w:pPr>
          <w:hyperlink w:anchor="_Toc221182650" w:history="1">
            <w:r w:rsidRPr="009E4D06">
              <w:rPr>
                <w:rStyle w:val="Hyperlink"/>
                <w:rFonts w:ascii="Helvetica Neue LT Std 65 Medium" w:hAnsi="Helvetica Neue LT Std 65 Medium"/>
                <w:noProof/>
              </w:rPr>
              <w:t>Glossary of key terms</w:t>
            </w:r>
            <w:r>
              <w:rPr>
                <w:noProof/>
                <w:webHidden/>
              </w:rPr>
              <w:tab/>
            </w:r>
            <w:r>
              <w:rPr>
                <w:noProof/>
                <w:webHidden/>
              </w:rPr>
              <w:fldChar w:fldCharType="begin"/>
            </w:r>
            <w:r>
              <w:rPr>
                <w:noProof/>
                <w:webHidden/>
              </w:rPr>
              <w:instrText xml:space="preserve"> PAGEREF _Toc221182650 \h </w:instrText>
            </w:r>
            <w:r>
              <w:rPr>
                <w:noProof/>
                <w:webHidden/>
              </w:rPr>
            </w:r>
            <w:r>
              <w:rPr>
                <w:noProof/>
                <w:webHidden/>
              </w:rPr>
              <w:fldChar w:fldCharType="separate"/>
            </w:r>
            <w:r>
              <w:rPr>
                <w:noProof/>
                <w:webHidden/>
              </w:rPr>
              <w:t>9</w:t>
            </w:r>
            <w:r>
              <w:rPr>
                <w:noProof/>
                <w:webHidden/>
              </w:rPr>
              <w:fldChar w:fldCharType="end"/>
            </w:r>
          </w:hyperlink>
        </w:p>
        <w:p w14:paraId="3DD9D8F8" w14:textId="27A25988" w:rsidR="002146E6" w:rsidRDefault="002146E6">
          <w:pPr>
            <w:pStyle w:val="TOC1"/>
            <w:rPr>
              <w:rFonts w:asciiTheme="minorHAnsi" w:hAnsiTheme="minorHAnsi" w:cstheme="minorBidi"/>
              <w:b w:val="0"/>
              <w:bCs w:val="0"/>
              <w:noProof/>
              <w:color w:val="auto"/>
              <w:kern w:val="2"/>
              <w:lang w:eastAsia="en-GB"/>
              <w14:ligatures w14:val="standardContextual"/>
            </w:rPr>
          </w:pPr>
          <w:hyperlink w:anchor="_Toc221182651" w:history="1">
            <w:r w:rsidRPr="009E4D06">
              <w:rPr>
                <w:rStyle w:val="Hyperlink"/>
                <w:rFonts w:ascii="Helvetica Neue LT Std 65 Medium" w:hAnsi="Helvetica Neue LT Std 65 Medium"/>
                <w:noProof/>
              </w:rPr>
              <w:t>Methodology</w:t>
            </w:r>
            <w:r>
              <w:rPr>
                <w:noProof/>
                <w:webHidden/>
              </w:rPr>
              <w:tab/>
            </w:r>
            <w:r>
              <w:rPr>
                <w:noProof/>
                <w:webHidden/>
              </w:rPr>
              <w:fldChar w:fldCharType="begin"/>
            </w:r>
            <w:r>
              <w:rPr>
                <w:noProof/>
                <w:webHidden/>
              </w:rPr>
              <w:instrText xml:space="preserve"> PAGEREF _Toc221182651 \h </w:instrText>
            </w:r>
            <w:r>
              <w:rPr>
                <w:noProof/>
                <w:webHidden/>
              </w:rPr>
            </w:r>
            <w:r>
              <w:rPr>
                <w:noProof/>
                <w:webHidden/>
              </w:rPr>
              <w:fldChar w:fldCharType="separate"/>
            </w:r>
            <w:r>
              <w:rPr>
                <w:noProof/>
                <w:webHidden/>
              </w:rPr>
              <w:t>12</w:t>
            </w:r>
            <w:r>
              <w:rPr>
                <w:noProof/>
                <w:webHidden/>
              </w:rPr>
              <w:fldChar w:fldCharType="end"/>
            </w:r>
          </w:hyperlink>
        </w:p>
        <w:p w14:paraId="696566E0" w14:textId="41380AB0" w:rsidR="002146E6" w:rsidRDefault="002146E6">
          <w:pPr>
            <w:pStyle w:val="TOC1"/>
            <w:rPr>
              <w:rFonts w:asciiTheme="minorHAnsi" w:hAnsiTheme="minorHAnsi" w:cstheme="minorBidi"/>
              <w:b w:val="0"/>
              <w:bCs w:val="0"/>
              <w:noProof/>
              <w:color w:val="auto"/>
              <w:kern w:val="2"/>
              <w:lang w:eastAsia="en-GB"/>
              <w14:ligatures w14:val="standardContextual"/>
            </w:rPr>
          </w:pPr>
          <w:hyperlink w:anchor="_Toc221182652" w:history="1">
            <w:r w:rsidRPr="009E4D06">
              <w:rPr>
                <w:rStyle w:val="Hyperlink"/>
                <w:rFonts w:ascii="Helvetica Neue LT Std 65 Medium" w:hAnsi="Helvetica Neue LT Std 65 Medium"/>
                <w:noProof/>
              </w:rPr>
              <w:t>1.</w:t>
            </w:r>
            <w:r>
              <w:rPr>
                <w:rFonts w:asciiTheme="minorHAnsi" w:hAnsiTheme="minorHAnsi" w:cstheme="minorBidi"/>
                <w:b w:val="0"/>
                <w:bCs w:val="0"/>
                <w:noProof/>
                <w:color w:val="auto"/>
                <w:kern w:val="2"/>
                <w:lang w:eastAsia="en-GB"/>
                <w14:ligatures w14:val="standardContextual"/>
              </w:rPr>
              <w:tab/>
            </w:r>
            <w:r w:rsidRPr="009E4D06">
              <w:rPr>
                <w:rStyle w:val="Hyperlink"/>
                <w:rFonts w:ascii="Helvetica Neue LT Std 65 Medium" w:hAnsi="Helvetica Neue LT Std 65 Medium"/>
                <w:noProof/>
              </w:rPr>
              <w:t>Establishing the baseline</w:t>
            </w:r>
            <w:r>
              <w:rPr>
                <w:noProof/>
                <w:webHidden/>
              </w:rPr>
              <w:tab/>
            </w:r>
            <w:r>
              <w:rPr>
                <w:noProof/>
                <w:webHidden/>
              </w:rPr>
              <w:fldChar w:fldCharType="begin"/>
            </w:r>
            <w:r>
              <w:rPr>
                <w:noProof/>
                <w:webHidden/>
              </w:rPr>
              <w:instrText xml:space="preserve"> PAGEREF _Toc221182652 \h </w:instrText>
            </w:r>
            <w:r>
              <w:rPr>
                <w:noProof/>
                <w:webHidden/>
              </w:rPr>
            </w:r>
            <w:r>
              <w:rPr>
                <w:noProof/>
                <w:webHidden/>
              </w:rPr>
              <w:fldChar w:fldCharType="separate"/>
            </w:r>
            <w:r>
              <w:rPr>
                <w:noProof/>
                <w:webHidden/>
              </w:rPr>
              <w:t>23</w:t>
            </w:r>
            <w:r>
              <w:rPr>
                <w:noProof/>
                <w:webHidden/>
              </w:rPr>
              <w:fldChar w:fldCharType="end"/>
            </w:r>
          </w:hyperlink>
        </w:p>
        <w:p w14:paraId="722895D5" w14:textId="53034CD4" w:rsidR="002146E6" w:rsidRDefault="002146E6">
          <w:pPr>
            <w:pStyle w:val="TOC2"/>
            <w:rPr>
              <w:rFonts w:cstheme="minorBidi"/>
              <w:b w:val="0"/>
              <w:bCs w:val="0"/>
              <w:noProof/>
              <w:color w:val="auto"/>
              <w:kern w:val="2"/>
              <w:sz w:val="24"/>
              <w:szCs w:val="24"/>
              <w:lang w:eastAsia="en-GB"/>
              <w14:ligatures w14:val="standardContextual"/>
            </w:rPr>
          </w:pPr>
          <w:hyperlink w:anchor="_Toc221182653" w:history="1">
            <w:r w:rsidRPr="009E4D06">
              <w:rPr>
                <w:rStyle w:val="Hyperlink"/>
                <w:noProof/>
              </w:rPr>
              <w:t>1.1</w:t>
            </w:r>
            <w:r>
              <w:rPr>
                <w:rFonts w:cstheme="minorBidi"/>
                <w:b w:val="0"/>
                <w:bCs w:val="0"/>
                <w:noProof/>
                <w:color w:val="auto"/>
                <w:kern w:val="2"/>
                <w:sz w:val="24"/>
                <w:szCs w:val="24"/>
                <w:lang w:eastAsia="en-GB"/>
                <w14:ligatures w14:val="standardContextual"/>
              </w:rPr>
              <w:tab/>
            </w:r>
            <w:r w:rsidRPr="009E4D06">
              <w:rPr>
                <w:rStyle w:val="Hyperlink"/>
                <w:noProof/>
              </w:rPr>
              <w:t>Selection of occupational codes</w:t>
            </w:r>
            <w:r>
              <w:rPr>
                <w:noProof/>
                <w:webHidden/>
              </w:rPr>
              <w:tab/>
            </w:r>
            <w:r>
              <w:rPr>
                <w:noProof/>
                <w:webHidden/>
              </w:rPr>
              <w:fldChar w:fldCharType="begin"/>
            </w:r>
            <w:r>
              <w:rPr>
                <w:noProof/>
                <w:webHidden/>
              </w:rPr>
              <w:instrText xml:space="preserve"> PAGEREF _Toc221182653 \h </w:instrText>
            </w:r>
            <w:r>
              <w:rPr>
                <w:noProof/>
                <w:webHidden/>
              </w:rPr>
            </w:r>
            <w:r>
              <w:rPr>
                <w:noProof/>
                <w:webHidden/>
              </w:rPr>
              <w:fldChar w:fldCharType="separate"/>
            </w:r>
            <w:r>
              <w:rPr>
                <w:noProof/>
                <w:webHidden/>
              </w:rPr>
              <w:t>23</w:t>
            </w:r>
            <w:r>
              <w:rPr>
                <w:noProof/>
                <w:webHidden/>
              </w:rPr>
              <w:fldChar w:fldCharType="end"/>
            </w:r>
          </w:hyperlink>
        </w:p>
        <w:p w14:paraId="1A091341" w14:textId="6D4155EE" w:rsidR="002146E6" w:rsidRDefault="002146E6">
          <w:pPr>
            <w:pStyle w:val="TOC2"/>
            <w:rPr>
              <w:rFonts w:cstheme="minorBidi"/>
              <w:b w:val="0"/>
              <w:bCs w:val="0"/>
              <w:noProof/>
              <w:color w:val="auto"/>
              <w:kern w:val="2"/>
              <w:sz w:val="24"/>
              <w:szCs w:val="24"/>
              <w:lang w:eastAsia="en-GB"/>
              <w14:ligatures w14:val="standardContextual"/>
            </w:rPr>
          </w:pPr>
          <w:hyperlink w:anchor="_Toc221182654" w:history="1">
            <w:r w:rsidRPr="009E4D06">
              <w:rPr>
                <w:rStyle w:val="Hyperlink"/>
                <w:noProof/>
              </w:rPr>
              <w:t>1.2</w:t>
            </w:r>
            <w:r>
              <w:rPr>
                <w:rFonts w:cstheme="minorBidi"/>
                <w:b w:val="0"/>
                <w:bCs w:val="0"/>
                <w:noProof/>
                <w:color w:val="auto"/>
                <w:kern w:val="2"/>
                <w:sz w:val="24"/>
                <w:szCs w:val="24"/>
                <w:lang w:eastAsia="en-GB"/>
                <w14:ligatures w14:val="standardContextual"/>
              </w:rPr>
              <w:tab/>
            </w:r>
            <w:r w:rsidRPr="009E4D06">
              <w:rPr>
                <w:rStyle w:val="Hyperlink"/>
                <w:noProof/>
              </w:rPr>
              <w:t>Capacity estimates</w:t>
            </w:r>
            <w:r>
              <w:rPr>
                <w:noProof/>
                <w:webHidden/>
              </w:rPr>
              <w:tab/>
            </w:r>
            <w:r>
              <w:rPr>
                <w:noProof/>
                <w:webHidden/>
              </w:rPr>
              <w:fldChar w:fldCharType="begin"/>
            </w:r>
            <w:r>
              <w:rPr>
                <w:noProof/>
                <w:webHidden/>
              </w:rPr>
              <w:instrText xml:space="preserve"> PAGEREF _Toc221182654 \h </w:instrText>
            </w:r>
            <w:r>
              <w:rPr>
                <w:noProof/>
                <w:webHidden/>
              </w:rPr>
            </w:r>
            <w:r>
              <w:rPr>
                <w:noProof/>
                <w:webHidden/>
              </w:rPr>
              <w:fldChar w:fldCharType="separate"/>
            </w:r>
            <w:r>
              <w:rPr>
                <w:noProof/>
                <w:webHidden/>
              </w:rPr>
              <w:t>26</w:t>
            </w:r>
            <w:r>
              <w:rPr>
                <w:noProof/>
                <w:webHidden/>
              </w:rPr>
              <w:fldChar w:fldCharType="end"/>
            </w:r>
          </w:hyperlink>
        </w:p>
        <w:p w14:paraId="6934564A" w14:textId="24114B06" w:rsidR="002146E6" w:rsidRDefault="002146E6">
          <w:pPr>
            <w:pStyle w:val="TOC1"/>
            <w:rPr>
              <w:rFonts w:asciiTheme="minorHAnsi" w:hAnsiTheme="minorHAnsi" w:cstheme="minorBidi"/>
              <w:b w:val="0"/>
              <w:bCs w:val="0"/>
              <w:noProof/>
              <w:color w:val="auto"/>
              <w:kern w:val="2"/>
              <w:lang w:eastAsia="en-GB"/>
              <w14:ligatures w14:val="standardContextual"/>
            </w:rPr>
          </w:pPr>
          <w:hyperlink w:anchor="_Toc221182655" w:history="1">
            <w:r w:rsidRPr="009E4D06">
              <w:rPr>
                <w:rStyle w:val="Hyperlink"/>
                <w:rFonts w:ascii="Helvetica Neue LT Std 65 Medium" w:hAnsi="Helvetica Neue LT Std 65 Medium"/>
                <w:noProof/>
              </w:rPr>
              <w:t>2.</w:t>
            </w:r>
            <w:r>
              <w:rPr>
                <w:rFonts w:asciiTheme="minorHAnsi" w:hAnsiTheme="minorHAnsi" w:cstheme="minorBidi"/>
                <w:b w:val="0"/>
                <w:bCs w:val="0"/>
                <w:noProof/>
                <w:color w:val="auto"/>
                <w:kern w:val="2"/>
                <w:lang w:eastAsia="en-GB"/>
                <w14:ligatures w14:val="standardContextual"/>
              </w:rPr>
              <w:tab/>
            </w:r>
            <w:r w:rsidRPr="009E4D06">
              <w:rPr>
                <w:rStyle w:val="Hyperlink"/>
                <w:rFonts w:ascii="Helvetica Neue LT Std 65 Medium" w:hAnsi="Helvetica Neue LT Std 65 Medium"/>
                <w:noProof/>
              </w:rPr>
              <w:t>Labour demand</w:t>
            </w:r>
            <w:r>
              <w:rPr>
                <w:noProof/>
                <w:webHidden/>
              </w:rPr>
              <w:tab/>
            </w:r>
            <w:r>
              <w:rPr>
                <w:noProof/>
                <w:webHidden/>
              </w:rPr>
              <w:fldChar w:fldCharType="begin"/>
            </w:r>
            <w:r>
              <w:rPr>
                <w:noProof/>
                <w:webHidden/>
              </w:rPr>
              <w:instrText xml:space="preserve"> PAGEREF _Toc221182655 \h </w:instrText>
            </w:r>
            <w:r>
              <w:rPr>
                <w:noProof/>
                <w:webHidden/>
              </w:rPr>
            </w:r>
            <w:r>
              <w:rPr>
                <w:noProof/>
                <w:webHidden/>
              </w:rPr>
              <w:fldChar w:fldCharType="separate"/>
            </w:r>
            <w:r>
              <w:rPr>
                <w:noProof/>
                <w:webHidden/>
              </w:rPr>
              <w:t>28</w:t>
            </w:r>
            <w:r>
              <w:rPr>
                <w:noProof/>
                <w:webHidden/>
              </w:rPr>
              <w:fldChar w:fldCharType="end"/>
            </w:r>
          </w:hyperlink>
        </w:p>
        <w:p w14:paraId="17DF3F22" w14:textId="0234CEE0" w:rsidR="002146E6" w:rsidRDefault="002146E6">
          <w:pPr>
            <w:pStyle w:val="TOC2"/>
            <w:rPr>
              <w:rFonts w:cstheme="minorBidi"/>
              <w:b w:val="0"/>
              <w:bCs w:val="0"/>
              <w:noProof/>
              <w:color w:val="auto"/>
              <w:kern w:val="2"/>
              <w:sz w:val="24"/>
              <w:szCs w:val="24"/>
              <w:lang w:eastAsia="en-GB"/>
              <w14:ligatures w14:val="standardContextual"/>
            </w:rPr>
          </w:pPr>
          <w:hyperlink w:anchor="_Toc221182656" w:history="1">
            <w:r w:rsidRPr="009E4D06">
              <w:rPr>
                <w:rStyle w:val="Hyperlink"/>
                <w:noProof/>
              </w:rPr>
              <w:t>2.1</w:t>
            </w:r>
            <w:r>
              <w:rPr>
                <w:rFonts w:cstheme="minorBidi"/>
                <w:b w:val="0"/>
                <w:bCs w:val="0"/>
                <w:noProof/>
                <w:color w:val="auto"/>
                <w:kern w:val="2"/>
                <w:sz w:val="24"/>
                <w:szCs w:val="24"/>
                <w:lang w:eastAsia="en-GB"/>
                <w14:ligatures w14:val="standardContextual"/>
              </w:rPr>
              <w:tab/>
            </w:r>
            <w:r w:rsidRPr="009E4D06">
              <w:rPr>
                <w:rStyle w:val="Hyperlink"/>
                <w:noProof/>
              </w:rPr>
              <w:t>The state of home retrofit in Wales 2025</w:t>
            </w:r>
            <w:r>
              <w:rPr>
                <w:noProof/>
                <w:webHidden/>
              </w:rPr>
              <w:tab/>
            </w:r>
            <w:r>
              <w:rPr>
                <w:noProof/>
                <w:webHidden/>
              </w:rPr>
              <w:fldChar w:fldCharType="begin"/>
            </w:r>
            <w:r>
              <w:rPr>
                <w:noProof/>
                <w:webHidden/>
              </w:rPr>
              <w:instrText xml:space="preserve"> PAGEREF _Toc221182656 \h </w:instrText>
            </w:r>
            <w:r>
              <w:rPr>
                <w:noProof/>
                <w:webHidden/>
              </w:rPr>
            </w:r>
            <w:r>
              <w:rPr>
                <w:noProof/>
                <w:webHidden/>
              </w:rPr>
              <w:fldChar w:fldCharType="separate"/>
            </w:r>
            <w:r>
              <w:rPr>
                <w:noProof/>
                <w:webHidden/>
              </w:rPr>
              <w:t>28</w:t>
            </w:r>
            <w:r>
              <w:rPr>
                <w:noProof/>
                <w:webHidden/>
              </w:rPr>
              <w:fldChar w:fldCharType="end"/>
            </w:r>
          </w:hyperlink>
        </w:p>
        <w:p w14:paraId="6A85C48E" w14:textId="42103556" w:rsidR="002146E6" w:rsidRDefault="002146E6">
          <w:pPr>
            <w:pStyle w:val="TOC2"/>
            <w:rPr>
              <w:rFonts w:cstheme="minorBidi"/>
              <w:b w:val="0"/>
              <w:bCs w:val="0"/>
              <w:noProof/>
              <w:color w:val="auto"/>
              <w:kern w:val="2"/>
              <w:sz w:val="24"/>
              <w:szCs w:val="24"/>
              <w:lang w:eastAsia="en-GB"/>
              <w14:ligatures w14:val="standardContextual"/>
            </w:rPr>
          </w:pPr>
          <w:hyperlink w:anchor="_Toc221182657" w:history="1">
            <w:r w:rsidRPr="009E4D06">
              <w:rPr>
                <w:rStyle w:val="Hyperlink"/>
                <w:noProof/>
              </w:rPr>
              <w:t>2.2</w:t>
            </w:r>
            <w:r>
              <w:rPr>
                <w:rFonts w:cstheme="minorBidi"/>
                <w:b w:val="0"/>
                <w:bCs w:val="0"/>
                <w:noProof/>
                <w:color w:val="auto"/>
                <w:kern w:val="2"/>
                <w:sz w:val="24"/>
                <w:szCs w:val="24"/>
                <w:lang w:eastAsia="en-GB"/>
                <w14:ligatures w14:val="standardContextual"/>
              </w:rPr>
              <w:tab/>
            </w:r>
            <w:r w:rsidRPr="009E4D06">
              <w:rPr>
                <w:rStyle w:val="Hyperlink"/>
                <w:noProof/>
              </w:rPr>
              <w:t>Home retrofit progress by 2035 under the base scenario</w:t>
            </w:r>
            <w:r>
              <w:rPr>
                <w:noProof/>
                <w:webHidden/>
              </w:rPr>
              <w:tab/>
            </w:r>
            <w:r>
              <w:rPr>
                <w:noProof/>
                <w:webHidden/>
              </w:rPr>
              <w:fldChar w:fldCharType="begin"/>
            </w:r>
            <w:r>
              <w:rPr>
                <w:noProof/>
                <w:webHidden/>
              </w:rPr>
              <w:instrText xml:space="preserve"> PAGEREF _Toc221182657 \h </w:instrText>
            </w:r>
            <w:r>
              <w:rPr>
                <w:noProof/>
                <w:webHidden/>
              </w:rPr>
            </w:r>
            <w:r>
              <w:rPr>
                <w:noProof/>
                <w:webHidden/>
              </w:rPr>
              <w:fldChar w:fldCharType="separate"/>
            </w:r>
            <w:r>
              <w:rPr>
                <w:noProof/>
                <w:webHidden/>
              </w:rPr>
              <w:t>29</w:t>
            </w:r>
            <w:r>
              <w:rPr>
                <w:noProof/>
                <w:webHidden/>
              </w:rPr>
              <w:fldChar w:fldCharType="end"/>
            </w:r>
          </w:hyperlink>
        </w:p>
        <w:p w14:paraId="28D2672F" w14:textId="2615E005" w:rsidR="002146E6" w:rsidRDefault="002146E6">
          <w:pPr>
            <w:pStyle w:val="TOC2"/>
            <w:rPr>
              <w:rFonts w:cstheme="minorBidi"/>
              <w:b w:val="0"/>
              <w:bCs w:val="0"/>
              <w:noProof/>
              <w:color w:val="auto"/>
              <w:kern w:val="2"/>
              <w:sz w:val="24"/>
              <w:szCs w:val="24"/>
              <w:lang w:eastAsia="en-GB"/>
              <w14:ligatures w14:val="standardContextual"/>
            </w:rPr>
          </w:pPr>
          <w:hyperlink w:anchor="_Toc221182658" w:history="1">
            <w:r w:rsidRPr="009E4D06">
              <w:rPr>
                <w:rStyle w:val="Hyperlink"/>
                <w:noProof/>
              </w:rPr>
              <w:t>2.3</w:t>
            </w:r>
            <w:r>
              <w:rPr>
                <w:rFonts w:cstheme="minorBidi"/>
                <w:b w:val="0"/>
                <w:bCs w:val="0"/>
                <w:noProof/>
                <w:color w:val="auto"/>
                <w:kern w:val="2"/>
                <w:sz w:val="24"/>
                <w:szCs w:val="24"/>
                <w:lang w:eastAsia="en-GB"/>
                <w14:ligatures w14:val="standardContextual"/>
              </w:rPr>
              <w:tab/>
            </w:r>
            <w:r w:rsidRPr="009E4D06">
              <w:rPr>
                <w:rStyle w:val="Hyperlink"/>
                <w:noProof/>
              </w:rPr>
              <w:t>Labour demand under the base scenario</w:t>
            </w:r>
            <w:r>
              <w:rPr>
                <w:noProof/>
                <w:webHidden/>
              </w:rPr>
              <w:tab/>
            </w:r>
            <w:r>
              <w:rPr>
                <w:noProof/>
                <w:webHidden/>
              </w:rPr>
              <w:fldChar w:fldCharType="begin"/>
            </w:r>
            <w:r>
              <w:rPr>
                <w:noProof/>
                <w:webHidden/>
              </w:rPr>
              <w:instrText xml:space="preserve"> PAGEREF _Toc221182658 \h </w:instrText>
            </w:r>
            <w:r>
              <w:rPr>
                <w:noProof/>
                <w:webHidden/>
              </w:rPr>
            </w:r>
            <w:r>
              <w:rPr>
                <w:noProof/>
                <w:webHidden/>
              </w:rPr>
              <w:fldChar w:fldCharType="separate"/>
            </w:r>
            <w:r>
              <w:rPr>
                <w:noProof/>
                <w:webHidden/>
              </w:rPr>
              <w:t>31</w:t>
            </w:r>
            <w:r>
              <w:rPr>
                <w:noProof/>
                <w:webHidden/>
              </w:rPr>
              <w:fldChar w:fldCharType="end"/>
            </w:r>
          </w:hyperlink>
        </w:p>
        <w:p w14:paraId="2ACD499F" w14:textId="1D011CC2" w:rsidR="002146E6" w:rsidRDefault="002146E6">
          <w:pPr>
            <w:pStyle w:val="TOC1"/>
            <w:rPr>
              <w:rFonts w:asciiTheme="minorHAnsi" w:hAnsiTheme="minorHAnsi" w:cstheme="minorBidi"/>
              <w:b w:val="0"/>
              <w:bCs w:val="0"/>
              <w:noProof/>
              <w:color w:val="auto"/>
              <w:kern w:val="2"/>
              <w:lang w:eastAsia="en-GB"/>
              <w14:ligatures w14:val="standardContextual"/>
            </w:rPr>
          </w:pPr>
          <w:hyperlink w:anchor="_Toc221182659" w:history="1">
            <w:r w:rsidRPr="009E4D06">
              <w:rPr>
                <w:rStyle w:val="Hyperlink"/>
                <w:rFonts w:ascii="Helvetica Neue LT Std 65 Medium" w:hAnsi="Helvetica Neue LT Std 65 Medium"/>
                <w:noProof/>
              </w:rPr>
              <w:t>3.</w:t>
            </w:r>
            <w:r>
              <w:rPr>
                <w:rFonts w:asciiTheme="minorHAnsi" w:hAnsiTheme="minorHAnsi" w:cstheme="minorBidi"/>
                <w:b w:val="0"/>
                <w:bCs w:val="0"/>
                <w:noProof/>
                <w:color w:val="auto"/>
                <w:kern w:val="2"/>
                <w:lang w:eastAsia="en-GB"/>
                <w14:ligatures w14:val="standardContextual"/>
              </w:rPr>
              <w:tab/>
            </w:r>
            <w:r w:rsidRPr="009E4D06">
              <w:rPr>
                <w:rStyle w:val="Hyperlink"/>
                <w:rFonts w:ascii="Helvetica Neue LT Std 65 Medium" w:hAnsi="Helvetica Neue LT Std 65 Medium"/>
                <w:noProof/>
              </w:rPr>
              <w:t>Labour supply</w:t>
            </w:r>
            <w:r>
              <w:rPr>
                <w:noProof/>
                <w:webHidden/>
              </w:rPr>
              <w:tab/>
            </w:r>
            <w:r>
              <w:rPr>
                <w:noProof/>
                <w:webHidden/>
              </w:rPr>
              <w:fldChar w:fldCharType="begin"/>
            </w:r>
            <w:r>
              <w:rPr>
                <w:noProof/>
                <w:webHidden/>
              </w:rPr>
              <w:instrText xml:space="preserve"> PAGEREF _Toc221182659 \h </w:instrText>
            </w:r>
            <w:r>
              <w:rPr>
                <w:noProof/>
                <w:webHidden/>
              </w:rPr>
            </w:r>
            <w:r>
              <w:rPr>
                <w:noProof/>
                <w:webHidden/>
              </w:rPr>
              <w:fldChar w:fldCharType="separate"/>
            </w:r>
            <w:r>
              <w:rPr>
                <w:noProof/>
                <w:webHidden/>
              </w:rPr>
              <w:t>32</w:t>
            </w:r>
            <w:r>
              <w:rPr>
                <w:noProof/>
                <w:webHidden/>
              </w:rPr>
              <w:fldChar w:fldCharType="end"/>
            </w:r>
          </w:hyperlink>
        </w:p>
        <w:p w14:paraId="208E208C" w14:textId="2A0419D9" w:rsidR="002146E6" w:rsidRDefault="002146E6">
          <w:pPr>
            <w:pStyle w:val="TOC2"/>
            <w:rPr>
              <w:rFonts w:cstheme="minorBidi"/>
              <w:b w:val="0"/>
              <w:bCs w:val="0"/>
              <w:noProof/>
              <w:color w:val="auto"/>
              <w:kern w:val="2"/>
              <w:sz w:val="24"/>
              <w:szCs w:val="24"/>
              <w:lang w:eastAsia="en-GB"/>
              <w14:ligatures w14:val="standardContextual"/>
            </w:rPr>
          </w:pPr>
          <w:hyperlink w:anchor="_Toc221182660" w:history="1">
            <w:r w:rsidRPr="009E4D06">
              <w:rPr>
                <w:rStyle w:val="Hyperlink"/>
                <w:noProof/>
              </w:rPr>
              <w:t>3.1</w:t>
            </w:r>
            <w:r>
              <w:rPr>
                <w:rFonts w:cstheme="minorBidi"/>
                <w:b w:val="0"/>
                <w:bCs w:val="0"/>
                <w:noProof/>
                <w:color w:val="auto"/>
                <w:kern w:val="2"/>
                <w:sz w:val="24"/>
                <w:szCs w:val="24"/>
                <w:lang w:eastAsia="en-GB"/>
                <w14:ligatures w14:val="standardContextual"/>
              </w:rPr>
              <w:tab/>
            </w:r>
            <w:r w:rsidRPr="009E4D06">
              <w:rPr>
                <w:rStyle w:val="Hyperlink"/>
                <w:noProof/>
              </w:rPr>
              <w:t>Unified labour supply model</w:t>
            </w:r>
            <w:r>
              <w:rPr>
                <w:noProof/>
                <w:webHidden/>
              </w:rPr>
              <w:tab/>
            </w:r>
            <w:r>
              <w:rPr>
                <w:noProof/>
                <w:webHidden/>
              </w:rPr>
              <w:fldChar w:fldCharType="begin"/>
            </w:r>
            <w:r>
              <w:rPr>
                <w:noProof/>
                <w:webHidden/>
              </w:rPr>
              <w:instrText xml:space="preserve"> PAGEREF _Toc221182660 \h </w:instrText>
            </w:r>
            <w:r>
              <w:rPr>
                <w:noProof/>
                <w:webHidden/>
              </w:rPr>
            </w:r>
            <w:r>
              <w:rPr>
                <w:noProof/>
                <w:webHidden/>
              </w:rPr>
              <w:fldChar w:fldCharType="separate"/>
            </w:r>
            <w:r>
              <w:rPr>
                <w:noProof/>
                <w:webHidden/>
              </w:rPr>
              <w:t>32</w:t>
            </w:r>
            <w:r>
              <w:rPr>
                <w:noProof/>
                <w:webHidden/>
              </w:rPr>
              <w:fldChar w:fldCharType="end"/>
            </w:r>
          </w:hyperlink>
        </w:p>
        <w:p w14:paraId="07834ECA" w14:textId="5C689706" w:rsidR="002146E6" w:rsidRDefault="002146E6">
          <w:pPr>
            <w:pStyle w:val="TOC2"/>
            <w:rPr>
              <w:rFonts w:cstheme="minorBidi"/>
              <w:b w:val="0"/>
              <w:bCs w:val="0"/>
              <w:noProof/>
              <w:color w:val="auto"/>
              <w:kern w:val="2"/>
              <w:sz w:val="24"/>
              <w:szCs w:val="24"/>
              <w:lang w:eastAsia="en-GB"/>
              <w14:ligatures w14:val="standardContextual"/>
            </w:rPr>
          </w:pPr>
          <w:hyperlink w:anchor="_Toc221182661" w:history="1">
            <w:r w:rsidRPr="009E4D06">
              <w:rPr>
                <w:rStyle w:val="Hyperlink"/>
                <w:noProof/>
              </w:rPr>
              <w:t>3.2</w:t>
            </w:r>
            <w:r>
              <w:rPr>
                <w:rFonts w:cstheme="minorBidi"/>
                <w:b w:val="0"/>
                <w:bCs w:val="0"/>
                <w:noProof/>
                <w:color w:val="auto"/>
                <w:kern w:val="2"/>
                <w:sz w:val="24"/>
                <w:szCs w:val="24"/>
                <w:lang w:eastAsia="en-GB"/>
                <w14:ligatures w14:val="standardContextual"/>
              </w:rPr>
              <w:tab/>
            </w:r>
            <w:r w:rsidRPr="009E4D06">
              <w:rPr>
                <w:rStyle w:val="Hyperlink"/>
                <w:noProof/>
              </w:rPr>
              <w:t>Out-commuting and labour market pull</w:t>
            </w:r>
            <w:r>
              <w:rPr>
                <w:noProof/>
                <w:webHidden/>
              </w:rPr>
              <w:tab/>
            </w:r>
            <w:r>
              <w:rPr>
                <w:noProof/>
                <w:webHidden/>
              </w:rPr>
              <w:fldChar w:fldCharType="begin"/>
            </w:r>
            <w:r>
              <w:rPr>
                <w:noProof/>
                <w:webHidden/>
              </w:rPr>
              <w:instrText xml:space="preserve"> PAGEREF _Toc221182661 \h </w:instrText>
            </w:r>
            <w:r>
              <w:rPr>
                <w:noProof/>
                <w:webHidden/>
              </w:rPr>
            </w:r>
            <w:r>
              <w:rPr>
                <w:noProof/>
                <w:webHidden/>
              </w:rPr>
              <w:fldChar w:fldCharType="separate"/>
            </w:r>
            <w:r>
              <w:rPr>
                <w:noProof/>
                <w:webHidden/>
              </w:rPr>
              <w:t>34</w:t>
            </w:r>
            <w:r>
              <w:rPr>
                <w:noProof/>
                <w:webHidden/>
              </w:rPr>
              <w:fldChar w:fldCharType="end"/>
            </w:r>
          </w:hyperlink>
        </w:p>
        <w:p w14:paraId="53724A23" w14:textId="6A70461A" w:rsidR="002146E6" w:rsidRDefault="002146E6">
          <w:pPr>
            <w:pStyle w:val="TOC2"/>
            <w:rPr>
              <w:rFonts w:cstheme="minorBidi"/>
              <w:b w:val="0"/>
              <w:bCs w:val="0"/>
              <w:noProof/>
              <w:color w:val="auto"/>
              <w:kern w:val="2"/>
              <w:sz w:val="24"/>
              <w:szCs w:val="24"/>
              <w:lang w:eastAsia="en-GB"/>
              <w14:ligatures w14:val="standardContextual"/>
            </w:rPr>
          </w:pPr>
          <w:hyperlink w:anchor="_Toc221182662" w:history="1">
            <w:r w:rsidRPr="009E4D06">
              <w:rPr>
                <w:rStyle w:val="Hyperlink"/>
                <w:noProof/>
              </w:rPr>
              <w:t>3.3</w:t>
            </w:r>
            <w:r>
              <w:rPr>
                <w:rFonts w:cstheme="minorBidi"/>
                <w:b w:val="0"/>
                <w:bCs w:val="0"/>
                <w:noProof/>
                <w:color w:val="auto"/>
                <w:kern w:val="2"/>
                <w:sz w:val="24"/>
                <w:szCs w:val="24"/>
                <w:lang w:eastAsia="en-GB"/>
                <w14:ligatures w14:val="standardContextual"/>
              </w:rPr>
              <w:tab/>
            </w:r>
            <w:r w:rsidRPr="009E4D06">
              <w:rPr>
                <w:rStyle w:val="Hyperlink"/>
                <w:noProof/>
              </w:rPr>
              <w:t>Apprenticeships and training pathways</w:t>
            </w:r>
            <w:r>
              <w:rPr>
                <w:noProof/>
                <w:webHidden/>
              </w:rPr>
              <w:tab/>
            </w:r>
            <w:r>
              <w:rPr>
                <w:noProof/>
                <w:webHidden/>
              </w:rPr>
              <w:fldChar w:fldCharType="begin"/>
            </w:r>
            <w:r>
              <w:rPr>
                <w:noProof/>
                <w:webHidden/>
              </w:rPr>
              <w:instrText xml:space="preserve"> PAGEREF _Toc221182662 \h </w:instrText>
            </w:r>
            <w:r>
              <w:rPr>
                <w:noProof/>
                <w:webHidden/>
              </w:rPr>
            </w:r>
            <w:r>
              <w:rPr>
                <w:noProof/>
                <w:webHidden/>
              </w:rPr>
              <w:fldChar w:fldCharType="separate"/>
            </w:r>
            <w:r>
              <w:rPr>
                <w:noProof/>
                <w:webHidden/>
              </w:rPr>
              <w:t>36</w:t>
            </w:r>
            <w:r>
              <w:rPr>
                <w:noProof/>
                <w:webHidden/>
              </w:rPr>
              <w:fldChar w:fldCharType="end"/>
            </w:r>
          </w:hyperlink>
        </w:p>
        <w:p w14:paraId="629307BD" w14:textId="22891410" w:rsidR="002146E6" w:rsidRDefault="002146E6">
          <w:pPr>
            <w:pStyle w:val="TOC2"/>
            <w:rPr>
              <w:rFonts w:cstheme="minorBidi"/>
              <w:b w:val="0"/>
              <w:bCs w:val="0"/>
              <w:noProof/>
              <w:color w:val="auto"/>
              <w:kern w:val="2"/>
              <w:sz w:val="24"/>
              <w:szCs w:val="24"/>
              <w:lang w:eastAsia="en-GB"/>
              <w14:ligatures w14:val="standardContextual"/>
            </w:rPr>
          </w:pPr>
          <w:hyperlink w:anchor="_Toc221182663" w:history="1">
            <w:r w:rsidRPr="009E4D06">
              <w:rPr>
                <w:rStyle w:val="Hyperlink"/>
                <w:noProof/>
              </w:rPr>
              <w:t>3.4</w:t>
            </w:r>
            <w:r>
              <w:rPr>
                <w:rFonts w:cstheme="minorBidi"/>
                <w:b w:val="0"/>
                <w:bCs w:val="0"/>
                <w:noProof/>
                <w:color w:val="auto"/>
                <w:kern w:val="2"/>
                <w:sz w:val="24"/>
                <w:szCs w:val="24"/>
                <w:lang w:eastAsia="en-GB"/>
                <w14:ligatures w14:val="standardContextual"/>
              </w:rPr>
              <w:tab/>
            </w:r>
            <w:r w:rsidRPr="009E4D06">
              <w:rPr>
                <w:rStyle w:val="Hyperlink"/>
                <w:noProof/>
              </w:rPr>
              <w:t>Replacement demand</w:t>
            </w:r>
            <w:r>
              <w:rPr>
                <w:noProof/>
                <w:webHidden/>
              </w:rPr>
              <w:tab/>
            </w:r>
            <w:r>
              <w:rPr>
                <w:noProof/>
                <w:webHidden/>
              </w:rPr>
              <w:fldChar w:fldCharType="begin"/>
            </w:r>
            <w:r>
              <w:rPr>
                <w:noProof/>
                <w:webHidden/>
              </w:rPr>
              <w:instrText xml:space="preserve"> PAGEREF _Toc221182663 \h </w:instrText>
            </w:r>
            <w:r>
              <w:rPr>
                <w:noProof/>
                <w:webHidden/>
              </w:rPr>
            </w:r>
            <w:r>
              <w:rPr>
                <w:noProof/>
                <w:webHidden/>
              </w:rPr>
              <w:fldChar w:fldCharType="separate"/>
            </w:r>
            <w:r>
              <w:rPr>
                <w:noProof/>
                <w:webHidden/>
              </w:rPr>
              <w:t>37</w:t>
            </w:r>
            <w:r>
              <w:rPr>
                <w:noProof/>
                <w:webHidden/>
              </w:rPr>
              <w:fldChar w:fldCharType="end"/>
            </w:r>
          </w:hyperlink>
        </w:p>
        <w:p w14:paraId="3D9CD47F" w14:textId="6FE4758B" w:rsidR="002146E6" w:rsidRDefault="002146E6">
          <w:pPr>
            <w:pStyle w:val="TOC2"/>
            <w:rPr>
              <w:rFonts w:cstheme="minorBidi"/>
              <w:b w:val="0"/>
              <w:bCs w:val="0"/>
              <w:noProof/>
              <w:color w:val="auto"/>
              <w:kern w:val="2"/>
              <w:sz w:val="24"/>
              <w:szCs w:val="24"/>
              <w:lang w:eastAsia="en-GB"/>
              <w14:ligatures w14:val="standardContextual"/>
            </w:rPr>
          </w:pPr>
          <w:hyperlink w:anchor="_Toc221182664" w:history="1">
            <w:r w:rsidRPr="009E4D06">
              <w:rPr>
                <w:rStyle w:val="Hyperlink"/>
                <w:noProof/>
              </w:rPr>
              <w:t>3.5</w:t>
            </w:r>
            <w:r>
              <w:rPr>
                <w:rFonts w:cstheme="minorBidi"/>
                <w:b w:val="0"/>
                <w:bCs w:val="0"/>
                <w:noProof/>
                <w:color w:val="auto"/>
                <w:kern w:val="2"/>
                <w:sz w:val="24"/>
                <w:szCs w:val="24"/>
                <w:lang w:eastAsia="en-GB"/>
                <w14:ligatures w14:val="standardContextual"/>
              </w:rPr>
              <w:tab/>
            </w:r>
            <w:r w:rsidRPr="009E4D06">
              <w:rPr>
                <w:rStyle w:val="Hyperlink"/>
                <w:noProof/>
              </w:rPr>
              <w:t>Redeployment potential</w:t>
            </w:r>
            <w:r>
              <w:rPr>
                <w:noProof/>
                <w:webHidden/>
              </w:rPr>
              <w:tab/>
            </w:r>
            <w:r>
              <w:rPr>
                <w:noProof/>
                <w:webHidden/>
              </w:rPr>
              <w:fldChar w:fldCharType="begin"/>
            </w:r>
            <w:r>
              <w:rPr>
                <w:noProof/>
                <w:webHidden/>
              </w:rPr>
              <w:instrText xml:space="preserve"> PAGEREF _Toc221182664 \h </w:instrText>
            </w:r>
            <w:r>
              <w:rPr>
                <w:noProof/>
                <w:webHidden/>
              </w:rPr>
            </w:r>
            <w:r>
              <w:rPr>
                <w:noProof/>
                <w:webHidden/>
              </w:rPr>
              <w:fldChar w:fldCharType="separate"/>
            </w:r>
            <w:r>
              <w:rPr>
                <w:noProof/>
                <w:webHidden/>
              </w:rPr>
              <w:t>38</w:t>
            </w:r>
            <w:r>
              <w:rPr>
                <w:noProof/>
                <w:webHidden/>
              </w:rPr>
              <w:fldChar w:fldCharType="end"/>
            </w:r>
          </w:hyperlink>
        </w:p>
        <w:p w14:paraId="4490E91F" w14:textId="4C84FBF2" w:rsidR="002146E6" w:rsidRDefault="002146E6">
          <w:pPr>
            <w:pStyle w:val="TOC1"/>
            <w:rPr>
              <w:rFonts w:asciiTheme="minorHAnsi" w:hAnsiTheme="minorHAnsi" w:cstheme="minorBidi"/>
              <w:b w:val="0"/>
              <w:bCs w:val="0"/>
              <w:noProof/>
              <w:color w:val="auto"/>
              <w:kern w:val="2"/>
              <w:lang w:eastAsia="en-GB"/>
              <w14:ligatures w14:val="standardContextual"/>
            </w:rPr>
          </w:pPr>
          <w:hyperlink w:anchor="_Toc221182665" w:history="1">
            <w:r w:rsidRPr="009E4D06">
              <w:rPr>
                <w:rStyle w:val="Hyperlink"/>
                <w:rFonts w:ascii="Helvetica Neue LT Std 65 Medium" w:hAnsi="Helvetica Neue LT Std 65 Medium"/>
                <w:noProof/>
              </w:rPr>
              <w:t>4.</w:t>
            </w:r>
            <w:r>
              <w:rPr>
                <w:rFonts w:asciiTheme="minorHAnsi" w:hAnsiTheme="minorHAnsi" w:cstheme="minorBidi"/>
                <w:b w:val="0"/>
                <w:bCs w:val="0"/>
                <w:noProof/>
                <w:color w:val="auto"/>
                <w:kern w:val="2"/>
                <w:lang w:eastAsia="en-GB"/>
                <w14:ligatures w14:val="standardContextual"/>
              </w:rPr>
              <w:tab/>
            </w:r>
            <w:r w:rsidRPr="009E4D06">
              <w:rPr>
                <w:rStyle w:val="Hyperlink"/>
                <w:rFonts w:ascii="Helvetica Neue LT Std 65 Medium" w:hAnsi="Helvetica Neue LT Std 65 Medium"/>
                <w:noProof/>
              </w:rPr>
              <w:t>Workforce gaps under different scenarios</w:t>
            </w:r>
            <w:r>
              <w:rPr>
                <w:noProof/>
                <w:webHidden/>
              </w:rPr>
              <w:tab/>
            </w:r>
            <w:r>
              <w:rPr>
                <w:noProof/>
                <w:webHidden/>
              </w:rPr>
              <w:fldChar w:fldCharType="begin"/>
            </w:r>
            <w:r>
              <w:rPr>
                <w:noProof/>
                <w:webHidden/>
              </w:rPr>
              <w:instrText xml:space="preserve"> PAGEREF _Toc221182665 \h </w:instrText>
            </w:r>
            <w:r>
              <w:rPr>
                <w:noProof/>
                <w:webHidden/>
              </w:rPr>
            </w:r>
            <w:r>
              <w:rPr>
                <w:noProof/>
                <w:webHidden/>
              </w:rPr>
              <w:fldChar w:fldCharType="separate"/>
            </w:r>
            <w:r>
              <w:rPr>
                <w:noProof/>
                <w:webHidden/>
              </w:rPr>
              <w:t>41</w:t>
            </w:r>
            <w:r>
              <w:rPr>
                <w:noProof/>
                <w:webHidden/>
              </w:rPr>
              <w:fldChar w:fldCharType="end"/>
            </w:r>
          </w:hyperlink>
        </w:p>
        <w:p w14:paraId="064C3410" w14:textId="4D0FF966" w:rsidR="002146E6" w:rsidRDefault="002146E6">
          <w:pPr>
            <w:pStyle w:val="TOC2"/>
            <w:rPr>
              <w:rFonts w:cstheme="minorBidi"/>
              <w:b w:val="0"/>
              <w:bCs w:val="0"/>
              <w:noProof/>
              <w:color w:val="auto"/>
              <w:kern w:val="2"/>
              <w:sz w:val="24"/>
              <w:szCs w:val="24"/>
              <w:lang w:eastAsia="en-GB"/>
              <w14:ligatures w14:val="standardContextual"/>
            </w:rPr>
          </w:pPr>
          <w:hyperlink w:anchor="_Toc221182666" w:history="1">
            <w:r w:rsidRPr="009E4D06">
              <w:rPr>
                <w:rStyle w:val="Hyperlink"/>
                <w:noProof/>
              </w:rPr>
              <w:t>4.1</w:t>
            </w:r>
            <w:r>
              <w:rPr>
                <w:rFonts w:cstheme="minorBidi"/>
                <w:b w:val="0"/>
                <w:bCs w:val="0"/>
                <w:noProof/>
                <w:color w:val="auto"/>
                <w:kern w:val="2"/>
                <w:sz w:val="24"/>
                <w:szCs w:val="24"/>
                <w:lang w:eastAsia="en-GB"/>
                <w14:ligatures w14:val="standardContextual"/>
              </w:rPr>
              <w:tab/>
            </w:r>
            <w:r w:rsidRPr="009E4D06">
              <w:rPr>
                <w:rStyle w:val="Hyperlink"/>
                <w:noProof/>
              </w:rPr>
              <w:t>Base labour demand scenario</w:t>
            </w:r>
            <w:r>
              <w:rPr>
                <w:noProof/>
                <w:webHidden/>
              </w:rPr>
              <w:tab/>
            </w:r>
            <w:r>
              <w:rPr>
                <w:noProof/>
                <w:webHidden/>
              </w:rPr>
              <w:fldChar w:fldCharType="begin"/>
            </w:r>
            <w:r>
              <w:rPr>
                <w:noProof/>
                <w:webHidden/>
              </w:rPr>
              <w:instrText xml:space="preserve"> PAGEREF _Toc221182666 \h </w:instrText>
            </w:r>
            <w:r>
              <w:rPr>
                <w:noProof/>
                <w:webHidden/>
              </w:rPr>
            </w:r>
            <w:r>
              <w:rPr>
                <w:noProof/>
                <w:webHidden/>
              </w:rPr>
              <w:fldChar w:fldCharType="separate"/>
            </w:r>
            <w:r>
              <w:rPr>
                <w:noProof/>
                <w:webHidden/>
              </w:rPr>
              <w:t>41</w:t>
            </w:r>
            <w:r>
              <w:rPr>
                <w:noProof/>
                <w:webHidden/>
              </w:rPr>
              <w:fldChar w:fldCharType="end"/>
            </w:r>
          </w:hyperlink>
        </w:p>
        <w:p w14:paraId="34760F92" w14:textId="32E773FB" w:rsidR="002146E6" w:rsidRDefault="002146E6">
          <w:pPr>
            <w:pStyle w:val="TOC2"/>
            <w:rPr>
              <w:rFonts w:cstheme="minorBidi"/>
              <w:b w:val="0"/>
              <w:bCs w:val="0"/>
              <w:noProof/>
              <w:color w:val="auto"/>
              <w:kern w:val="2"/>
              <w:sz w:val="24"/>
              <w:szCs w:val="24"/>
              <w:lang w:eastAsia="en-GB"/>
              <w14:ligatures w14:val="standardContextual"/>
            </w:rPr>
          </w:pPr>
          <w:hyperlink w:anchor="_Toc221182667" w:history="1">
            <w:r w:rsidRPr="009E4D06">
              <w:rPr>
                <w:rStyle w:val="Hyperlink"/>
                <w:noProof/>
              </w:rPr>
              <w:t>4.2</w:t>
            </w:r>
            <w:r>
              <w:rPr>
                <w:rFonts w:cstheme="minorBidi"/>
                <w:b w:val="0"/>
                <w:bCs w:val="0"/>
                <w:noProof/>
                <w:color w:val="auto"/>
                <w:kern w:val="2"/>
                <w:sz w:val="24"/>
                <w:szCs w:val="24"/>
                <w:lang w:eastAsia="en-GB"/>
                <w14:ligatures w14:val="standardContextual"/>
              </w:rPr>
              <w:tab/>
            </w:r>
            <w:r w:rsidRPr="009E4D06">
              <w:rPr>
                <w:rStyle w:val="Hyperlink"/>
                <w:noProof/>
              </w:rPr>
              <w:t>High-demand scenario</w:t>
            </w:r>
            <w:r>
              <w:rPr>
                <w:noProof/>
                <w:webHidden/>
              </w:rPr>
              <w:tab/>
            </w:r>
            <w:r>
              <w:rPr>
                <w:noProof/>
                <w:webHidden/>
              </w:rPr>
              <w:fldChar w:fldCharType="begin"/>
            </w:r>
            <w:r>
              <w:rPr>
                <w:noProof/>
                <w:webHidden/>
              </w:rPr>
              <w:instrText xml:space="preserve"> PAGEREF _Toc221182667 \h </w:instrText>
            </w:r>
            <w:r>
              <w:rPr>
                <w:noProof/>
                <w:webHidden/>
              </w:rPr>
            </w:r>
            <w:r>
              <w:rPr>
                <w:noProof/>
                <w:webHidden/>
              </w:rPr>
              <w:fldChar w:fldCharType="separate"/>
            </w:r>
            <w:r>
              <w:rPr>
                <w:noProof/>
                <w:webHidden/>
              </w:rPr>
              <w:t>42</w:t>
            </w:r>
            <w:r>
              <w:rPr>
                <w:noProof/>
                <w:webHidden/>
              </w:rPr>
              <w:fldChar w:fldCharType="end"/>
            </w:r>
          </w:hyperlink>
        </w:p>
        <w:p w14:paraId="30403200" w14:textId="1AFE6846" w:rsidR="002146E6" w:rsidRDefault="002146E6">
          <w:pPr>
            <w:pStyle w:val="TOC2"/>
            <w:rPr>
              <w:rFonts w:cstheme="minorBidi"/>
              <w:b w:val="0"/>
              <w:bCs w:val="0"/>
              <w:noProof/>
              <w:color w:val="auto"/>
              <w:kern w:val="2"/>
              <w:sz w:val="24"/>
              <w:szCs w:val="24"/>
              <w:lang w:eastAsia="en-GB"/>
              <w14:ligatures w14:val="standardContextual"/>
            </w:rPr>
          </w:pPr>
          <w:hyperlink w:anchor="_Toc221182668" w:history="1">
            <w:r w:rsidRPr="009E4D06">
              <w:rPr>
                <w:rStyle w:val="Hyperlink"/>
                <w:noProof/>
              </w:rPr>
              <w:t>4.3</w:t>
            </w:r>
            <w:r>
              <w:rPr>
                <w:rFonts w:cstheme="minorBidi"/>
                <w:b w:val="0"/>
                <w:bCs w:val="0"/>
                <w:noProof/>
                <w:color w:val="auto"/>
                <w:kern w:val="2"/>
                <w:sz w:val="24"/>
                <w:szCs w:val="24"/>
                <w:lang w:eastAsia="en-GB"/>
                <w14:ligatures w14:val="standardContextual"/>
              </w:rPr>
              <w:tab/>
            </w:r>
            <w:r w:rsidRPr="009E4D06">
              <w:rPr>
                <w:rStyle w:val="Hyperlink"/>
                <w:noProof/>
              </w:rPr>
              <w:t>Low-demand scenario</w:t>
            </w:r>
            <w:r>
              <w:rPr>
                <w:noProof/>
                <w:webHidden/>
              </w:rPr>
              <w:tab/>
            </w:r>
            <w:r>
              <w:rPr>
                <w:noProof/>
                <w:webHidden/>
              </w:rPr>
              <w:fldChar w:fldCharType="begin"/>
            </w:r>
            <w:r>
              <w:rPr>
                <w:noProof/>
                <w:webHidden/>
              </w:rPr>
              <w:instrText xml:space="preserve"> PAGEREF _Toc221182668 \h </w:instrText>
            </w:r>
            <w:r>
              <w:rPr>
                <w:noProof/>
                <w:webHidden/>
              </w:rPr>
            </w:r>
            <w:r>
              <w:rPr>
                <w:noProof/>
                <w:webHidden/>
              </w:rPr>
              <w:fldChar w:fldCharType="separate"/>
            </w:r>
            <w:r>
              <w:rPr>
                <w:noProof/>
                <w:webHidden/>
              </w:rPr>
              <w:t>43</w:t>
            </w:r>
            <w:r>
              <w:rPr>
                <w:noProof/>
                <w:webHidden/>
              </w:rPr>
              <w:fldChar w:fldCharType="end"/>
            </w:r>
          </w:hyperlink>
        </w:p>
        <w:p w14:paraId="29CAFB4D" w14:textId="01911EF5" w:rsidR="002146E6" w:rsidRDefault="002146E6">
          <w:pPr>
            <w:pStyle w:val="TOC1"/>
            <w:rPr>
              <w:rFonts w:asciiTheme="minorHAnsi" w:hAnsiTheme="minorHAnsi" w:cstheme="minorBidi"/>
              <w:b w:val="0"/>
              <w:bCs w:val="0"/>
              <w:noProof/>
              <w:color w:val="auto"/>
              <w:kern w:val="2"/>
              <w:lang w:eastAsia="en-GB"/>
              <w14:ligatures w14:val="standardContextual"/>
            </w:rPr>
          </w:pPr>
          <w:hyperlink w:anchor="_Toc221182669" w:history="1">
            <w:r w:rsidRPr="009E4D06">
              <w:rPr>
                <w:rStyle w:val="Hyperlink"/>
                <w:rFonts w:ascii="Helvetica Neue LT Std 65 Medium" w:hAnsi="Helvetica Neue LT Std 65 Medium"/>
                <w:noProof/>
              </w:rPr>
              <w:t>Conclusion</w:t>
            </w:r>
            <w:r>
              <w:rPr>
                <w:noProof/>
                <w:webHidden/>
              </w:rPr>
              <w:tab/>
            </w:r>
            <w:r>
              <w:rPr>
                <w:noProof/>
                <w:webHidden/>
              </w:rPr>
              <w:fldChar w:fldCharType="begin"/>
            </w:r>
            <w:r>
              <w:rPr>
                <w:noProof/>
                <w:webHidden/>
              </w:rPr>
              <w:instrText xml:space="preserve"> PAGEREF _Toc221182669 \h </w:instrText>
            </w:r>
            <w:r>
              <w:rPr>
                <w:noProof/>
                <w:webHidden/>
              </w:rPr>
            </w:r>
            <w:r>
              <w:rPr>
                <w:noProof/>
                <w:webHidden/>
              </w:rPr>
              <w:fldChar w:fldCharType="separate"/>
            </w:r>
            <w:r>
              <w:rPr>
                <w:noProof/>
                <w:webHidden/>
              </w:rPr>
              <w:t>44</w:t>
            </w:r>
            <w:r>
              <w:rPr>
                <w:noProof/>
                <w:webHidden/>
              </w:rPr>
              <w:fldChar w:fldCharType="end"/>
            </w:r>
          </w:hyperlink>
        </w:p>
        <w:p w14:paraId="6B176F85" w14:textId="0F2DAFA8" w:rsidR="002146E6" w:rsidRDefault="002146E6">
          <w:pPr>
            <w:pStyle w:val="TOC1"/>
            <w:rPr>
              <w:rFonts w:asciiTheme="minorHAnsi" w:hAnsiTheme="minorHAnsi" w:cstheme="minorBidi"/>
              <w:b w:val="0"/>
              <w:bCs w:val="0"/>
              <w:noProof/>
              <w:color w:val="auto"/>
              <w:kern w:val="2"/>
              <w:lang w:eastAsia="en-GB"/>
              <w14:ligatures w14:val="standardContextual"/>
            </w:rPr>
          </w:pPr>
          <w:hyperlink w:anchor="_Toc221182670" w:history="1">
            <w:r w:rsidRPr="009E4D06">
              <w:rPr>
                <w:rStyle w:val="Hyperlink"/>
                <w:rFonts w:ascii="Helvetica Neue LT Std 65 Medium" w:hAnsi="Helvetica Neue LT Std 65 Medium"/>
                <w:noProof/>
              </w:rPr>
              <w:t>Appendices</w:t>
            </w:r>
            <w:r>
              <w:rPr>
                <w:noProof/>
                <w:webHidden/>
              </w:rPr>
              <w:tab/>
            </w:r>
            <w:r>
              <w:rPr>
                <w:noProof/>
                <w:webHidden/>
              </w:rPr>
              <w:fldChar w:fldCharType="begin"/>
            </w:r>
            <w:r>
              <w:rPr>
                <w:noProof/>
                <w:webHidden/>
              </w:rPr>
              <w:instrText xml:space="preserve"> PAGEREF _Toc221182670 \h </w:instrText>
            </w:r>
            <w:r>
              <w:rPr>
                <w:noProof/>
                <w:webHidden/>
              </w:rPr>
            </w:r>
            <w:r>
              <w:rPr>
                <w:noProof/>
                <w:webHidden/>
              </w:rPr>
              <w:fldChar w:fldCharType="separate"/>
            </w:r>
            <w:r>
              <w:rPr>
                <w:noProof/>
                <w:webHidden/>
              </w:rPr>
              <w:t>45</w:t>
            </w:r>
            <w:r>
              <w:rPr>
                <w:noProof/>
                <w:webHidden/>
              </w:rPr>
              <w:fldChar w:fldCharType="end"/>
            </w:r>
          </w:hyperlink>
        </w:p>
        <w:p w14:paraId="7D1E2425" w14:textId="4ED4E125" w:rsidR="002146E6" w:rsidRDefault="002146E6">
          <w:pPr>
            <w:pStyle w:val="TOC2"/>
            <w:rPr>
              <w:rFonts w:cstheme="minorBidi"/>
              <w:b w:val="0"/>
              <w:bCs w:val="0"/>
              <w:noProof/>
              <w:color w:val="auto"/>
              <w:kern w:val="2"/>
              <w:sz w:val="24"/>
              <w:szCs w:val="24"/>
              <w:lang w:eastAsia="en-GB"/>
              <w14:ligatures w14:val="standardContextual"/>
            </w:rPr>
          </w:pPr>
          <w:hyperlink w:anchor="_Toc221182671" w:history="1">
            <w:r w:rsidRPr="009E4D06">
              <w:rPr>
                <w:rStyle w:val="Hyperlink"/>
                <w:noProof/>
              </w:rPr>
              <w:t>Appendix A – detailed breakdown of core estimates</w:t>
            </w:r>
            <w:r>
              <w:rPr>
                <w:noProof/>
                <w:webHidden/>
              </w:rPr>
              <w:tab/>
            </w:r>
            <w:r>
              <w:rPr>
                <w:noProof/>
                <w:webHidden/>
              </w:rPr>
              <w:fldChar w:fldCharType="begin"/>
            </w:r>
            <w:r>
              <w:rPr>
                <w:noProof/>
                <w:webHidden/>
              </w:rPr>
              <w:instrText xml:space="preserve"> PAGEREF _Toc221182671 \h </w:instrText>
            </w:r>
            <w:r>
              <w:rPr>
                <w:noProof/>
                <w:webHidden/>
              </w:rPr>
            </w:r>
            <w:r>
              <w:rPr>
                <w:noProof/>
                <w:webHidden/>
              </w:rPr>
              <w:fldChar w:fldCharType="separate"/>
            </w:r>
            <w:r>
              <w:rPr>
                <w:noProof/>
                <w:webHidden/>
              </w:rPr>
              <w:t>45</w:t>
            </w:r>
            <w:r>
              <w:rPr>
                <w:noProof/>
                <w:webHidden/>
              </w:rPr>
              <w:fldChar w:fldCharType="end"/>
            </w:r>
          </w:hyperlink>
        </w:p>
        <w:p w14:paraId="085D8FC3" w14:textId="1C647A8B" w:rsidR="002146E6" w:rsidRDefault="002146E6">
          <w:pPr>
            <w:pStyle w:val="TOC2"/>
            <w:rPr>
              <w:rFonts w:cstheme="minorBidi"/>
              <w:b w:val="0"/>
              <w:bCs w:val="0"/>
              <w:noProof/>
              <w:color w:val="auto"/>
              <w:kern w:val="2"/>
              <w:sz w:val="24"/>
              <w:szCs w:val="24"/>
              <w:lang w:eastAsia="en-GB"/>
              <w14:ligatures w14:val="standardContextual"/>
            </w:rPr>
          </w:pPr>
          <w:hyperlink w:anchor="_Toc221182672" w:history="1">
            <w:r w:rsidRPr="009E4D06">
              <w:rPr>
                <w:rStyle w:val="Hyperlink"/>
                <w:noProof/>
              </w:rPr>
              <w:t>Appendix B – detailed breakdown of adjacent estimates</w:t>
            </w:r>
            <w:r>
              <w:rPr>
                <w:noProof/>
                <w:webHidden/>
              </w:rPr>
              <w:tab/>
            </w:r>
            <w:r>
              <w:rPr>
                <w:noProof/>
                <w:webHidden/>
              </w:rPr>
              <w:fldChar w:fldCharType="begin"/>
            </w:r>
            <w:r>
              <w:rPr>
                <w:noProof/>
                <w:webHidden/>
              </w:rPr>
              <w:instrText xml:space="preserve"> PAGEREF _Toc221182672 \h </w:instrText>
            </w:r>
            <w:r>
              <w:rPr>
                <w:noProof/>
                <w:webHidden/>
              </w:rPr>
            </w:r>
            <w:r>
              <w:rPr>
                <w:noProof/>
                <w:webHidden/>
              </w:rPr>
              <w:fldChar w:fldCharType="separate"/>
            </w:r>
            <w:r>
              <w:rPr>
                <w:noProof/>
                <w:webHidden/>
              </w:rPr>
              <w:t>48</w:t>
            </w:r>
            <w:r>
              <w:rPr>
                <w:noProof/>
                <w:webHidden/>
              </w:rPr>
              <w:fldChar w:fldCharType="end"/>
            </w:r>
          </w:hyperlink>
        </w:p>
        <w:p w14:paraId="0860EA1C" w14:textId="713A41CA" w:rsidR="002146E6" w:rsidRDefault="002146E6">
          <w:pPr>
            <w:pStyle w:val="TOC2"/>
            <w:rPr>
              <w:rFonts w:cstheme="minorBidi"/>
              <w:b w:val="0"/>
              <w:bCs w:val="0"/>
              <w:noProof/>
              <w:color w:val="auto"/>
              <w:kern w:val="2"/>
              <w:sz w:val="24"/>
              <w:szCs w:val="24"/>
              <w:lang w:eastAsia="en-GB"/>
              <w14:ligatures w14:val="standardContextual"/>
            </w:rPr>
          </w:pPr>
          <w:hyperlink w:anchor="_Toc221182673" w:history="1">
            <w:r w:rsidRPr="009E4D06">
              <w:rPr>
                <w:rStyle w:val="Hyperlink"/>
                <w:noProof/>
              </w:rPr>
              <w:t>Appendix C – Out-commuting regression results</w:t>
            </w:r>
            <w:r>
              <w:rPr>
                <w:noProof/>
                <w:webHidden/>
              </w:rPr>
              <w:tab/>
            </w:r>
            <w:r>
              <w:rPr>
                <w:noProof/>
                <w:webHidden/>
              </w:rPr>
              <w:fldChar w:fldCharType="begin"/>
            </w:r>
            <w:r>
              <w:rPr>
                <w:noProof/>
                <w:webHidden/>
              </w:rPr>
              <w:instrText xml:space="preserve"> PAGEREF _Toc221182673 \h </w:instrText>
            </w:r>
            <w:r>
              <w:rPr>
                <w:noProof/>
                <w:webHidden/>
              </w:rPr>
            </w:r>
            <w:r>
              <w:rPr>
                <w:noProof/>
                <w:webHidden/>
              </w:rPr>
              <w:fldChar w:fldCharType="separate"/>
            </w:r>
            <w:r>
              <w:rPr>
                <w:noProof/>
                <w:webHidden/>
              </w:rPr>
              <w:t>52</w:t>
            </w:r>
            <w:r>
              <w:rPr>
                <w:noProof/>
                <w:webHidden/>
              </w:rPr>
              <w:fldChar w:fldCharType="end"/>
            </w:r>
          </w:hyperlink>
        </w:p>
        <w:p w14:paraId="0901E57A" w14:textId="4997B712" w:rsidR="002146E6" w:rsidRDefault="002146E6">
          <w:pPr>
            <w:pStyle w:val="TOC2"/>
            <w:rPr>
              <w:rFonts w:cstheme="minorBidi"/>
              <w:b w:val="0"/>
              <w:bCs w:val="0"/>
              <w:noProof/>
              <w:color w:val="auto"/>
              <w:kern w:val="2"/>
              <w:sz w:val="24"/>
              <w:szCs w:val="24"/>
              <w:lang w:eastAsia="en-GB"/>
              <w14:ligatures w14:val="standardContextual"/>
            </w:rPr>
          </w:pPr>
          <w:hyperlink w:anchor="_Toc221182674" w:history="1">
            <w:r w:rsidRPr="009E4D06">
              <w:rPr>
                <w:rStyle w:val="Hyperlink"/>
                <w:noProof/>
              </w:rPr>
              <w:t>Appendix D – Apprenticeship outcomes under 2% per annum increase in real funding</w:t>
            </w:r>
            <w:r>
              <w:rPr>
                <w:noProof/>
                <w:webHidden/>
              </w:rPr>
              <w:tab/>
            </w:r>
            <w:r>
              <w:rPr>
                <w:noProof/>
                <w:webHidden/>
              </w:rPr>
              <w:fldChar w:fldCharType="begin"/>
            </w:r>
            <w:r>
              <w:rPr>
                <w:noProof/>
                <w:webHidden/>
              </w:rPr>
              <w:instrText xml:space="preserve"> PAGEREF _Toc221182674 \h </w:instrText>
            </w:r>
            <w:r>
              <w:rPr>
                <w:noProof/>
                <w:webHidden/>
              </w:rPr>
            </w:r>
            <w:r>
              <w:rPr>
                <w:noProof/>
                <w:webHidden/>
              </w:rPr>
              <w:fldChar w:fldCharType="separate"/>
            </w:r>
            <w:r>
              <w:rPr>
                <w:noProof/>
                <w:webHidden/>
              </w:rPr>
              <w:t>54</w:t>
            </w:r>
            <w:r>
              <w:rPr>
                <w:noProof/>
                <w:webHidden/>
              </w:rPr>
              <w:fldChar w:fldCharType="end"/>
            </w:r>
          </w:hyperlink>
        </w:p>
        <w:p w14:paraId="72C3E237" w14:textId="28CD40BB" w:rsidR="00827330" w:rsidRPr="00015203" w:rsidRDefault="00A208F6" w:rsidP="00934AB2">
          <w:pPr>
            <w:rPr>
              <w:rStyle w:val="FootnoteReference"/>
              <w:color w:val="40403E"/>
              <w:position w:val="0"/>
              <w:sz w:val="22"/>
              <w:szCs w:val="22"/>
            </w:rPr>
            <w:sectPr w:rsidR="00827330" w:rsidRPr="00015203" w:rsidSect="00827330">
              <w:headerReference w:type="even" r:id="rId12"/>
              <w:headerReference w:type="default" r:id="rId13"/>
              <w:footerReference w:type="default" r:id="rId14"/>
              <w:headerReference w:type="first" r:id="rId15"/>
              <w:type w:val="continuous"/>
              <w:pgSz w:w="11906" w:h="16838"/>
              <w:pgMar w:top="1440" w:right="1440" w:bottom="1440" w:left="1440" w:header="709" w:footer="709" w:gutter="0"/>
              <w:cols w:space="708"/>
              <w:docGrid w:linePitch="360"/>
            </w:sectPr>
          </w:pPr>
          <w:r w:rsidRPr="00015203">
            <w:rPr>
              <w:color w:val="404040" w:themeColor="text1" w:themeTint="BF"/>
              <w:szCs w:val="22"/>
            </w:rPr>
            <w:fldChar w:fldCharType="end"/>
          </w:r>
        </w:p>
      </w:sdtContent>
    </w:sdt>
    <w:bookmarkEnd w:id="6" w:displacedByCustomXml="prev"/>
    <w:p w14:paraId="6C840469" w14:textId="5C1E6B9D" w:rsidR="00934AB2" w:rsidRPr="00015203" w:rsidRDefault="00934AB2">
      <w:pPr>
        <w:spacing w:after="0"/>
      </w:pPr>
      <w:bookmarkStart w:id="9" w:name="_Toc22219565"/>
      <w:bookmarkStart w:id="10" w:name="_Ref525560638"/>
      <w:bookmarkStart w:id="11" w:name="_Toc18942623"/>
      <w:bookmarkStart w:id="12" w:name="_Hlk85533333"/>
    </w:p>
    <w:p w14:paraId="1A6B2FB9" w14:textId="6B66D857" w:rsidR="00E343A8" w:rsidRDefault="0A3293F1" w:rsidP="00B553D0">
      <w:pPr>
        <w:pStyle w:val="Heading1"/>
        <w:spacing w:after="120" w:line="278" w:lineRule="auto"/>
        <w:rPr>
          <w:rFonts w:ascii="Helvetica Neue LT Std 65 Medium" w:hAnsi="Helvetica Neue LT Std 65 Medium"/>
        </w:rPr>
      </w:pPr>
      <w:bookmarkStart w:id="13" w:name="_Toc221182649"/>
      <w:r w:rsidRPr="096B2833">
        <w:rPr>
          <w:rFonts w:ascii="Helvetica Neue LT Std 65 Medium" w:hAnsi="Helvetica Neue LT Std 65 Medium"/>
        </w:rPr>
        <w:lastRenderedPageBreak/>
        <w:t xml:space="preserve">Executive </w:t>
      </w:r>
      <w:r w:rsidR="439EAB92" w:rsidRPr="096B2833">
        <w:rPr>
          <w:rFonts w:ascii="Helvetica Neue LT Std 65 Medium" w:hAnsi="Helvetica Neue LT Std 65 Medium"/>
        </w:rPr>
        <w:t>s</w:t>
      </w:r>
      <w:r w:rsidRPr="096B2833">
        <w:rPr>
          <w:rFonts w:ascii="Helvetica Neue LT Std 65 Medium" w:hAnsi="Helvetica Neue LT Std 65 Medium"/>
        </w:rPr>
        <w:t>ummary</w:t>
      </w:r>
      <w:bookmarkEnd w:id="13"/>
    </w:p>
    <w:p w14:paraId="7086A53C" w14:textId="0904E2A3" w:rsidR="001E04EC" w:rsidRDefault="008C7C68" w:rsidP="00B553D0">
      <w:pPr>
        <w:spacing w:after="120" w:line="278" w:lineRule="auto"/>
        <w:jc w:val="both"/>
      </w:pPr>
      <w:r>
        <w:t xml:space="preserve">Cebr is pleased to present the following report to the Welsh Government, assessing the capacity of the Welsh workforce to deliver home retrofitting in accordance with wider Net Zero targets. Home retrofitting is an essential </w:t>
      </w:r>
      <w:r w:rsidR="001E4200">
        <w:t xml:space="preserve">activity </w:t>
      </w:r>
      <w:r>
        <w:t xml:space="preserve">to reduce domestic reliance on high-carbon energy sources, especially for the energy intensive and often inefficient task of heating the home. </w:t>
      </w:r>
      <w:r w:rsidR="00315C3D">
        <w:t>T</w:t>
      </w:r>
      <w:r>
        <w:t xml:space="preserve">his report </w:t>
      </w:r>
      <w:r w:rsidR="001E4200">
        <w:t>combines</w:t>
      </w:r>
      <w:r>
        <w:t xml:space="preserve"> assessments of the current retrofit workforce</w:t>
      </w:r>
      <w:r w:rsidR="00F84AF8">
        <w:t>,</w:t>
      </w:r>
      <w:r w:rsidR="000E6BE8">
        <w:t xml:space="preserve"> </w:t>
      </w:r>
      <w:r w:rsidR="00F84AF8">
        <w:t xml:space="preserve">the labour intensity of the retrofit measures needed, </w:t>
      </w:r>
      <w:r w:rsidR="00D543CC">
        <w:t xml:space="preserve">and forecast of </w:t>
      </w:r>
      <w:r w:rsidR="001141C1">
        <w:t xml:space="preserve">likely </w:t>
      </w:r>
      <w:r w:rsidR="00F84AF8">
        <w:t xml:space="preserve">labour supply </w:t>
      </w:r>
      <w:r w:rsidR="00EC1CB8">
        <w:t xml:space="preserve">in order for the Welsh Government to meet its decarbonisation targets, </w:t>
      </w:r>
      <w:r>
        <w:t xml:space="preserve">to estimate the evolution of the </w:t>
      </w:r>
      <w:r w:rsidR="004A6CB5">
        <w:t>gap between</w:t>
      </w:r>
      <w:r>
        <w:t xml:space="preserve"> supply and demand, </w:t>
      </w:r>
      <w:r w:rsidR="004A6CB5">
        <w:t>over the</w:t>
      </w:r>
      <w:r w:rsidR="009C2BEF">
        <w:t xml:space="preserve"> next decade.</w:t>
      </w:r>
      <w:r>
        <w:t xml:space="preserve"> </w:t>
      </w:r>
    </w:p>
    <w:p w14:paraId="42E56E39" w14:textId="7A01584A" w:rsidR="008C7C68" w:rsidRPr="00DE4E28" w:rsidRDefault="005B2948" w:rsidP="00B553D0">
      <w:pPr>
        <w:spacing w:after="120" w:line="278" w:lineRule="auto"/>
        <w:jc w:val="both"/>
      </w:pPr>
      <w:r>
        <w:t>It shows that</w:t>
      </w:r>
      <w:r w:rsidR="00B25CEA">
        <w:t xml:space="preserve"> there is currently a shortfall in relevant qualified workers, and</w:t>
      </w:r>
      <w:r>
        <w:t xml:space="preserve"> if the Welsh Government is to meet its </w:t>
      </w:r>
      <w:r w:rsidR="001B3CAC">
        <w:t xml:space="preserve">Net Zero targets, the workforce involved in </w:t>
      </w:r>
      <w:r w:rsidR="00404A79">
        <w:t xml:space="preserve">directly delivering retrofit measures will need to </w:t>
      </w:r>
      <w:r w:rsidR="00B25CEA">
        <w:t>grow significantly</w:t>
      </w:r>
      <w:r w:rsidR="009D6532">
        <w:t xml:space="preserve"> over the coming decade.</w:t>
      </w:r>
      <w:r w:rsidR="001E04EC" w:rsidRPr="001E04EC">
        <w:t xml:space="preserve"> </w:t>
      </w:r>
      <w:r w:rsidR="001E04EC" w:rsidRPr="00167C62">
        <w:t xml:space="preserve">A critical secondary finding is that </w:t>
      </w:r>
      <w:r w:rsidR="006865CD" w:rsidRPr="00167C62">
        <w:t xml:space="preserve">the retrofit-relevant core </w:t>
      </w:r>
      <w:r w:rsidR="001E04EC" w:rsidRPr="00167C62">
        <w:t xml:space="preserve">labour supply is projected to decline over the forecast period irrespective of demand assumptions, unless additional interventions are introduced. This contraction means that even maintaining current delivery levels will become more challenging over </w:t>
      </w:r>
      <w:r w:rsidR="006865CD" w:rsidRPr="00167C62">
        <w:t xml:space="preserve">time, </w:t>
      </w:r>
      <w:r w:rsidR="001E04EC" w:rsidRPr="00167C62">
        <w:t>while scaling up delivery further exacerbates workforce pressures.</w:t>
      </w:r>
    </w:p>
    <w:p w14:paraId="76C25E97" w14:textId="58330433" w:rsidR="008C7C68" w:rsidRPr="000232A3" w:rsidRDefault="00B553D0" w:rsidP="00B553D0">
      <w:pPr>
        <w:spacing w:after="120" w:line="278" w:lineRule="auto"/>
        <w:rPr>
          <w:b/>
          <w:bCs/>
          <w:color w:val="008C9B" w:themeColor="text2"/>
          <w:sz w:val="32"/>
          <w:szCs w:val="32"/>
        </w:rPr>
      </w:pPr>
      <w:r w:rsidRPr="000232A3">
        <w:rPr>
          <w:b/>
          <w:bCs/>
          <w:color w:val="008C9B" w:themeColor="text2"/>
          <w:sz w:val="32"/>
          <w:szCs w:val="32"/>
        </w:rPr>
        <w:t>Summary of approach</w:t>
      </w:r>
    </w:p>
    <w:p w14:paraId="19B3B78D" w14:textId="1A602525" w:rsidR="008C7C68" w:rsidRDefault="008C7C68" w:rsidP="00B553D0">
      <w:pPr>
        <w:spacing w:after="120" w:line="278" w:lineRule="auto"/>
        <w:jc w:val="both"/>
      </w:pPr>
      <w:r>
        <w:t>The size of the current workforce is estimated by matching relevant industry and occupational codes in SIC-SOC matrices derived from the Annual Population Survey</w:t>
      </w:r>
      <w:r w:rsidR="00B553D0">
        <w:t xml:space="preserve"> (APS)</w:t>
      </w:r>
      <w:r>
        <w:t>.</w:t>
      </w:r>
      <w:r w:rsidRPr="008751C3">
        <w:t xml:space="preserve"> </w:t>
      </w:r>
      <w:r>
        <w:t>Workforce capacity is analysed across three functional categories</w:t>
      </w:r>
      <w:r w:rsidR="00B3229B">
        <w:t>, aligning with PAS 2035 framework</w:t>
      </w:r>
      <w:r>
        <w:t>:</w:t>
      </w:r>
    </w:p>
    <w:p w14:paraId="1E9556E5" w14:textId="0C74A0F4" w:rsidR="008C7C68" w:rsidRDefault="008C7C68" w:rsidP="00B553D0">
      <w:pPr>
        <w:pStyle w:val="ListParagraph"/>
        <w:numPr>
          <w:ilvl w:val="0"/>
          <w:numId w:val="42"/>
        </w:numPr>
        <w:spacing w:after="120" w:line="278" w:lineRule="auto"/>
        <w:jc w:val="both"/>
      </w:pPr>
      <w:r w:rsidRPr="00B3229B">
        <w:rPr>
          <w:b/>
          <w:bCs/>
        </w:rPr>
        <w:t>Direct</w:t>
      </w:r>
      <w:r>
        <w:t xml:space="preserve"> roles, responsible for physical installation;</w:t>
      </w:r>
    </w:p>
    <w:p w14:paraId="62334B48" w14:textId="18649DAD" w:rsidR="008C7C68" w:rsidRDefault="008C7C68" w:rsidP="00B553D0">
      <w:pPr>
        <w:pStyle w:val="ListParagraph"/>
        <w:numPr>
          <w:ilvl w:val="0"/>
          <w:numId w:val="42"/>
        </w:numPr>
        <w:spacing w:after="120" w:line="278" w:lineRule="auto"/>
        <w:jc w:val="both"/>
      </w:pPr>
      <w:r w:rsidRPr="00B3229B">
        <w:rPr>
          <w:b/>
          <w:bCs/>
        </w:rPr>
        <w:t>Support</w:t>
      </w:r>
      <w:r>
        <w:t xml:space="preserve"> roles, required to complete retrofit works; and</w:t>
      </w:r>
    </w:p>
    <w:p w14:paraId="64DBFCEB" w14:textId="77777777" w:rsidR="008C7C68" w:rsidRDefault="008C7C68" w:rsidP="00B553D0">
      <w:pPr>
        <w:pStyle w:val="ListParagraph"/>
        <w:numPr>
          <w:ilvl w:val="0"/>
          <w:numId w:val="42"/>
        </w:numPr>
        <w:spacing w:after="120" w:line="278" w:lineRule="auto"/>
        <w:jc w:val="both"/>
      </w:pPr>
      <w:r w:rsidRPr="00B3229B">
        <w:rPr>
          <w:b/>
          <w:bCs/>
        </w:rPr>
        <w:t>Supervisory</w:t>
      </w:r>
      <w:r>
        <w:t xml:space="preserve"> roles, which plan, manage, and assure delivery quality.</w:t>
      </w:r>
    </w:p>
    <w:p w14:paraId="6682B58F" w14:textId="2009435A" w:rsidR="008C7C68" w:rsidRDefault="008C7C68" w:rsidP="00B553D0">
      <w:pPr>
        <w:spacing w:after="120" w:line="278" w:lineRule="auto"/>
        <w:jc w:val="both"/>
      </w:pPr>
      <w:r>
        <w:t xml:space="preserve">The analysis </w:t>
      </w:r>
      <w:r w:rsidR="004A6CB5">
        <w:t xml:space="preserve">also </w:t>
      </w:r>
      <w:r>
        <w:t xml:space="preserve">distinguishes between </w:t>
      </w:r>
      <w:r w:rsidRPr="008751C3">
        <w:t>the</w:t>
      </w:r>
      <w:r w:rsidRPr="007E6F4C">
        <w:rPr>
          <w:b/>
          <w:bCs/>
        </w:rPr>
        <w:t xml:space="preserve"> </w:t>
      </w:r>
      <w:r w:rsidRPr="004A6CB5">
        <w:rPr>
          <w:rStyle w:val="Strong"/>
          <w:b/>
          <w:bCs/>
        </w:rPr>
        <w:t>core</w:t>
      </w:r>
      <w:r w:rsidRPr="007E6F4C">
        <w:rPr>
          <w:rStyle w:val="Strong"/>
        </w:rPr>
        <w:t xml:space="preserve"> retrofit workforce</w:t>
      </w:r>
      <w:r>
        <w:t xml:space="preserve">, already working in retrofit-relevant roles, and a wider </w:t>
      </w:r>
      <w:r w:rsidRPr="004A6CB5">
        <w:rPr>
          <w:rStyle w:val="Strong"/>
          <w:b/>
          <w:bCs/>
        </w:rPr>
        <w:t>adjacent</w:t>
      </w:r>
      <w:r w:rsidRPr="007E6F4C">
        <w:rPr>
          <w:rStyle w:val="Strong"/>
        </w:rPr>
        <w:t xml:space="preserve"> workforce</w:t>
      </w:r>
      <w:r>
        <w:t xml:space="preserve"> with transferable skills that could, in principle, be redeployed. </w:t>
      </w:r>
    </w:p>
    <w:p w14:paraId="3F7C2842" w14:textId="551CEB9A" w:rsidR="008C7C68" w:rsidRDefault="008C7C68" w:rsidP="00B553D0">
      <w:pPr>
        <w:spacing w:after="120" w:line="278" w:lineRule="auto"/>
        <w:jc w:val="both"/>
      </w:pPr>
      <w:r>
        <w:t>Total retrofit requirements are nowcast using the 2017/18 Welsh Housing Conditions Survey data, as well as existing installations data where possible. In turn, labour demand is forecast according to three retrofit delivery scenarios</w:t>
      </w:r>
      <w:r w:rsidR="0063412E">
        <w:t xml:space="preserve"> (base, high-demand, low-demand)</w:t>
      </w:r>
      <w:r>
        <w:t>, aligned to different levels of policy ambition and delivery pace, all matched to labour intensity benchmarks to estimate full-time-equivalent role requirements.</w:t>
      </w:r>
    </w:p>
    <w:p w14:paraId="7BDAA6AA" w14:textId="7B59E930" w:rsidR="004A6CB5" w:rsidRPr="001E04EC" w:rsidRDefault="008C7C68" w:rsidP="001E04EC">
      <w:pPr>
        <w:spacing w:after="120" w:line="278" w:lineRule="auto"/>
        <w:jc w:val="both"/>
      </w:pPr>
      <w:r>
        <w:t>Labour supply dynamics are estimated by combining estimated replacement demand, apprenticeship completions, out-commuting of Welsh workers into neighbouring England, and potential redeployment of the adjacent workforce.</w:t>
      </w:r>
      <w:r w:rsidR="006E6271">
        <w:t xml:space="preserve"> The resultant workforce gap is he number of workers required to deliver retrofit activity and the number of workers available. A positive workforce gap indicates a shortfall of labour, while a negative value indicates a surplus.</w:t>
      </w:r>
    </w:p>
    <w:p w14:paraId="3CA63612" w14:textId="0E470E6E" w:rsidR="00B553D0" w:rsidRPr="00B553D0" w:rsidRDefault="004A6CB5" w:rsidP="00B553D0">
      <w:pPr>
        <w:spacing w:after="120" w:line="278" w:lineRule="auto"/>
        <w:rPr>
          <w:b/>
          <w:bCs/>
          <w:color w:val="008C9B" w:themeColor="text2"/>
        </w:rPr>
      </w:pPr>
      <w:r w:rsidRPr="00B553D0">
        <w:rPr>
          <w:b/>
          <w:bCs/>
          <w:noProof/>
        </w:rPr>
        <w:lastRenderedPageBreak/>
        <w:drawing>
          <wp:anchor distT="0" distB="0" distL="114300" distR="114300" simplePos="0" relativeHeight="251658255" behindDoc="1" locked="0" layoutInCell="1" allowOverlap="1" wp14:anchorId="03E4F984" wp14:editId="2B878DFF">
            <wp:simplePos x="0" y="0"/>
            <wp:positionH relativeFrom="column">
              <wp:posOffset>2472055</wp:posOffset>
            </wp:positionH>
            <wp:positionV relativeFrom="paragraph">
              <wp:posOffset>123825</wp:posOffset>
            </wp:positionV>
            <wp:extent cx="3219450" cy="1866900"/>
            <wp:effectExtent l="0" t="0" r="0" b="0"/>
            <wp:wrapThrough wrapText="bothSides">
              <wp:wrapPolygon edited="0">
                <wp:start x="0" y="0"/>
                <wp:lineTo x="0" y="21380"/>
                <wp:lineTo x="21472" y="21380"/>
                <wp:lineTo x="21472" y="0"/>
                <wp:lineTo x="0" y="0"/>
              </wp:wrapPolygon>
            </wp:wrapThrough>
            <wp:docPr id="297365291" name="Chart 1" descr="Donut chart showing the estimated size and composition of the retrofit-relevant workforce in Wales. The inner ring shows approximately 24,900 workers in core retrofit roles, split across direct, support, and supervisory occupations. The outer ring shows an additional 116,000 workers in adjacent occupations with potential for redeployment, also broken down by role type.">
              <a:extLst xmlns:a="http://schemas.openxmlformats.org/drawingml/2006/main">
                <a:ext uri="{FF2B5EF4-FFF2-40B4-BE49-F238E27FC236}">
                  <a16:creationId xmlns:a16="http://schemas.microsoft.com/office/drawing/2014/main" id="{C90F6E63-E32E-1132-5D3D-2A15DDB6410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margin">
              <wp14:pctWidth>0</wp14:pctWidth>
            </wp14:sizeRelH>
            <wp14:sizeRelV relativeFrom="margin">
              <wp14:pctHeight>0</wp14:pctHeight>
            </wp14:sizeRelV>
          </wp:anchor>
        </w:drawing>
      </w:r>
      <w:r w:rsidRPr="000232A3">
        <w:rPr>
          <w:noProof/>
          <w:sz w:val="32"/>
          <w:szCs w:val="36"/>
        </w:rPr>
        <mc:AlternateContent>
          <mc:Choice Requires="wps">
            <w:drawing>
              <wp:anchor distT="45720" distB="45720" distL="114300" distR="114300" simplePos="0" relativeHeight="251658263" behindDoc="1" locked="0" layoutInCell="1" allowOverlap="1" wp14:anchorId="4F107C65" wp14:editId="6EF3BA8C">
                <wp:simplePos x="0" y="0"/>
                <wp:positionH relativeFrom="column">
                  <wp:posOffset>2633345</wp:posOffset>
                </wp:positionH>
                <wp:positionV relativeFrom="paragraph">
                  <wp:posOffset>0</wp:posOffset>
                </wp:positionV>
                <wp:extent cx="2914650" cy="333375"/>
                <wp:effectExtent l="0" t="0" r="0" b="0"/>
                <wp:wrapTight wrapText="bothSides">
                  <wp:wrapPolygon edited="0">
                    <wp:start x="424" y="0"/>
                    <wp:lineTo x="424" y="19749"/>
                    <wp:lineTo x="21035" y="19749"/>
                    <wp:lineTo x="21035" y="0"/>
                    <wp:lineTo x="424" y="0"/>
                  </wp:wrapPolygon>
                </wp:wrapTight>
                <wp:docPr id="5275178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0" cy="333375"/>
                        </a:xfrm>
                        <a:prstGeom prst="rect">
                          <a:avLst/>
                        </a:prstGeom>
                        <a:noFill/>
                        <a:ln w="9525">
                          <a:noFill/>
                          <a:miter lim="800000"/>
                          <a:headEnd/>
                          <a:tailEnd/>
                        </a:ln>
                      </wps:spPr>
                      <wps:txbx>
                        <w:txbxContent>
                          <w:p w14:paraId="338EFFD5" w14:textId="08D3BA1C" w:rsidR="00B3229B" w:rsidRPr="00B3229B" w:rsidRDefault="00B3229B" w:rsidP="00B3229B">
                            <w:pPr>
                              <w:jc w:val="center"/>
                              <w:rPr>
                                <w:i/>
                                <w:iCs/>
                                <w:sz w:val="16"/>
                                <w:szCs w:val="14"/>
                              </w:rPr>
                            </w:pPr>
                            <w:r>
                              <w:rPr>
                                <w:i/>
                                <w:iCs/>
                                <w:sz w:val="16"/>
                                <w:szCs w:val="14"/>
                              </w:rPr>
                              <w:t>Current retrofit-relevant workforce estimates, for core (inner ring) and adjacent (outer ring) occupations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107C65" id="_x0000_t202" coordsize="21600,21600" o:spt="202" path="m,l,21600r21600,l21600,xe">
                <v:stroke joinstyle="miter"/>
                <v:path gradientshapeok="t" o:connecttype="rect"/>
              </v:shapetype>
              <v:shape id="Text Box 2" o:spid="_x0000_s1026" type="#_x0000_t202" style="position:absolute;margin-left:207.35pt;margin-top:0;width:229.5pt;height:26.25pt;z-index:-25165821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" filled="f" stroked="f">
                <v:textbox>
                  <w:txbxContent>
                    <w:p w14:paraId="338EFFD5" w14:textId="08D3BA1C" w:rsidR="00B3229B" w:rsidRPr="00B3229B" w:rsidRDefault="00B3229B" w:rsidP="00B3229B">
                      <w:pPr>
                        <w:jc w:val="center"/>
                        <w:rPr>
                          <w:i/>
                          <w:iCs/>
                          <w:sz w:val="16"/>
                          <w:szCs w:val="14"/>
                        </w:rPr>
                      </w:pPr>
                      <w:r>
                        <w:rPr>
                          <w:i/>
                          <w:iCs/>
                          <w:sz w:val="16"/>
                          <w:szCs w:val="14"/>
                        </w:rPr>
                        <w:t>Current retrofit-relevant workforce estimates, for core (inner ring) and adjacent (outer ring) occupations</w:t>
                      </w:r>
                    </w:p>
                  </w:txbxContent>
                </v:textbox>
                <w10:wrap type="tight"/>
              </v:shape>
            </w:pict>
          </mc:Fallback>
        </mc:AlternateContent>
      </w:r>
      <w:r w:rsidR="00B553D0" w:rsidRPr="000232A3">
        <w:rPr>
          <w:b/>
          <w:bCs/>
          <w:color w:val="008C9B" w:themeColor="text2"/>
          <w:sz w:val="32"/>
          <w:szCs w:val="36"/>
        </w:rPr>
        <w:t>Headline findings</w:t>
      </w:r>
    </w:p>
    <w:p w14:paraId="2CF04F8E" w14:textId="5AE0C44A" w:rsidR="008C7C68" w:rsidRPr="00B553D0" w:rsidRDefault="00B553D0" w:rsidP="00B553D0">
      <w:pPr>
        <w:spacing w:after="120" w:line="278" w:lineRule="auto"/>
        <w:rPr>
          <w:b/>
          <w:bCs/>
        </w:rPr>
      </w:pPr>
      <w:r w:rsidRPr="00B553D0">
        <w:rPr>
          <w:b/>
          <w:bCs/>
        </w:rPr>
        <w:t>Current size</w:t>
      </w:r>
      <w:r w:rsidR="008C7C68" w:rsidRPr="00B553D0">
        <w:rPr>
          <w:b/>
          <w:bCs/>
        </w:rPr>
        <w:t xml:space="preserve"> of workforce</w:t>
      </w:r>
    </w:p>
    <w:p w14:paraId="1E429D95" w14:textId="4D895574" w:rsidR="001F1671" w:rsidRDefault="008C7C68" w:rsidP="00B553D0">
      <w:pPr>
        <w:spacing w:after="120" w:line="278" w:lineRule="auto"/>
        <w:jc w:val="both"/>
        <w:rPr>
          <w:b/>
          <w:bCs/>
        </w:rPr>
      </w:pPr>
      <w:r w:rsidRPr="008C0A8D">
        <w:rPr>
          <w:b/>
          <w:bCs/>
          <w:color w:val="008C9B" w:themeColor="text2"/>
        </w:rPr>
        <w:t>Approximately 24,900 workers</w:t>
      </w:r>
      <w:r w:rsidR="00B553D0">
        <w:rPr>
          <w:b/>
          <w:bCs/>
          <w:color w:val="008C9B" w:themeColor="text2"/>
        </w:rPr>
        <w:t xml:space="preserve"> </w:t>
      </w:r>
      <w:r w:rsidRPr="008C0A8D">
        <w:rPr>
          <w:b/>
          <w:bCs/>
          <w:color w:val="008C9B" w:themeColor="text2"/>
        </w:rPr>
        <w:t xml:space="preserve">are currently estimated to be involved </w:t>
      </w:r>
      <w:r w:rsidR="00450F05">
        <w:rPr>
          <w:b/>
          <w:bCs/>
          <w:color w:val="008C9B" w:themeColor="text2"/>
        </w:rPr>
        <w:t xml:space="preserve">core roles </w:t>
      </w:r>
      <w:r w:rsidRPr="008C0A8D">
        <w:rPr>
          <w:b/>
          <w:bCs/>
          <w:color w:val="008C9B" w:themeColor="text2"/>
        </w:rPr>
        <w:t xml:space="preserve">in home retrofitting in Wales, with an additional 116,000 working in </w:t>
      </w:r>
      <w:r w:rsidR="00450F05">
        <w:rPr>
          <w:b/>
          <w:bCs/>
          <w:color w:val="008C9B" w:themeColor="text2"/>
        </w:rPr>
        <w:t xml:space="preserve">adjacent </w:t>
      </w:r>
      <w:r w:rsidRPr="008C0A8D">
        <w:rPr>
          <w:b/>
          <w:bCs/>
          <w:color w:val="008C9B" w:themeColor="text2"/>
        </w:rPr>
        <w:t>roles that have potential for redeployment</w:t>
      </w:r>
      <w:r w:rsidR="001F1671">
        <w:rPr>
          <w:b/>
          <w:bCs/>
          <w:color w:val="008C9B" w:themeColor="text2"/>
        </w:rPr>
        <w:t>.</w:t>
      </w:r>
    </w:p>
    <w:p w14:paraId="44B634B8" w14:textId="2A86F4BE" w:rsidR="00B61701" w:rsidRDefault="00B61701" w:rsidP="00B553D0">
      <w:pPr>
        <w:spacing w:after="120" w:line="278" w:lineRule="auto"/>
        <w:rPr>
          <w:b/>
          <w:bCs/>
        </w:rPr>
      </w:pPr>
    </w:p>
    <w:p w14:paraId="1D1144D9" w14:textId="2B32709C" w:rsidR="008C7C68" w:rsidRPr="00B553D0" w:rsidRDefault="008C7C68" w:rsidP="00B553D0">
      <w:pPr>
        <w:spacing w:after="120" w:line="278" w:lineRule="auto"/>
        <w:rPr>
          <w:b/>
          <w:bCs/>
        </w:rPr>
      </w:pPr>
      <w:r w:rsidRPr="00B553D0">
        <w:rPr>
          <w:b/>
          <w:bCs/>
        </w:rPr>
        <w:t>The base workforce gap</w:t>
      </w:r>
    </w:p>
    <w:p w14:paraId="3A8AEFAE" w14:textId="7AC49AFE" w:rsidR="008C7C68" w:rsidRPr="008C0A8D" w:rsidRDefault="00EF63F2" w:rsidP="00B553D0">
      <w:pPr>
        <w:spacing w:after="120" w:line="278" w:lineRule="auto"/>
        <w:rPr>
          <w:b/>
          <w:bCs/>
          <w:color w:val="008C9B" w:themeColor="text2"/>
        </w:rPr>
      </w:pPr>
      <w:r>
        <w:rPr>
          <w:noProof/>
        </w:rPr>
        <w:drawing>
          <wp:anchor distT="0" distB="0" distL="114300" distR="114300" simplePos="0" relativeHeight="251658256" behindDoc="1" locked="0" layoutInCell="1" allowOverlap="1" wp14:anchorId="21EFC9C2" wp14:editId="52FB73CC">
            <wp:simplePos x="0" y="0"/>
            <wp:positionH relativeFrom="column">
              <wp:posOffset>9525</wp:posOffset>
            </wp:positionH>
            <wp:positionV relativeFrom="paragraph">
              <wp:posOffset>538480</wp:posOffset>
            </wp:positionV>
            <wp:extent cx="2894330" cy="1885950"/>
            <wp:effectExtent l="0" t="0" r="1270" b="0"/>
            <wp:wrapThrough wrapText="bothSides">
              <wp:wrapPolygon edited="0">
                <wp:start x="0" y="0"/>
                <wp:lineTo x="0" y="21382"/>
                <wp:lineTo x="21467" y="21382"/>
                <wp:lineTo x="21467" y="0"/>
                <wp:lineTo x="0" y="0"/>
              </wp:wrapPolygon>
            </wp:wrapThrough>
            <wp:docPr id="2060819267" name="Chart 1" descr="Bar chart showing projected workforce gaps for retrofit delivery in Wales from 2025/26 to 2034/35 under the base scenario. Labour demand increases sharply over time while labour supply declines, resulting in a rapidly widening workforce gap.">
              <a:extLst xmlns:a="http://schemas.openxmlformats.org/drawingml/2006/main">
                <a:ext uri="{FF2B5EF4-FFF2-40B4-BE49-F238E27FC236}">
                  <a16:creationId xmlns:a16="http://schemas.microsoft.com/office/drawing/2014/main" id="{00188A63-DCE1-91B4-59D2-22D5DECD652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7" behindDoc="0" locked="0" layoutInCell="1" allowOverlap="1" wp14:anchorId="399DCC44" wp14:editId="0D7CDBED">
            <wp:simplePos x="0" y="0"/>
            <wp:positionH relativeFrom="column">
              <wp:posOffset>2819400</wp:posOffset>
            </wp:positionH>
            <wp:positionV relativeFrom="paragraph">
              <wp:posOffset>541020</wp:posOffset>
            </wp:positionV>
            <wp:extent cx="2895600" cy="1885950"/>
            <wp:effectExtent l="0" t="0" r="0" b="0"/>
            <wp:wrapThrough wrapText="bothSides">
              <wp:wrapPolygon edited="0">
                <wp:start x="0" y="0"/>
                <wp:lineTo x="0" y="21382"/>
                <wp:lineTo x="21458" y="21382"/>
                <wp:lineTo x="21458" y="0"/>
                <wp:lineTo x="0" y="0"/>
              </wp:wrapPolygon>
            </wp:wrapThrough>
            <wp:docPr id="1704438111" name="Chart 1" descr="Line chart showing the share of retrofit labour demand met by projected labour supply under the base scenario. Coverage declines over time in the base scenario.">
              <a:extLst xmlns:a="http://schemas.openxmlformats.org/drawingml/2006/main">
                <a:ext uri="{FF2B5EF4-FFF2-40B4-BE49-F238E27FC236}">
                  <a16:creationId xmlns:a16="http://schemas.microsoft.com/office/drawing/2014/main" id="{E9191A3D-E310-FFD0-9362-FF439194FFA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58261" behindDoc="1" locked="0" layoutInCell="1" allowOverlap="1" wp14:anchorId="55305ACB" wp14:editId="0CFDD2BA">
                <wp:simplePos x="0" y="0"/>
                <wp:positionH relativeFrom="column">
                  <wp:posOffset>3117850</wp:posOffset>
                </wp:positionH>
                <wp:positionV relativeFrom="paragraph">
                  <wp:posOffset>608330</wp:posOffset>
                </wp:positionV>
                <wp:extent cx="2360930" cy="352425"/>
                <wp:effectExtent l="0" t="0" r="0" b="0"/>
                <wp:wrapTight wrapText="bothSides">
                  <wp:wrapPolygon edited="0">
                    <wp:start x="537" y="0"/>
                    <wp:lineTo x="537" y="19849"/>
                    <wp:lineTo x="20944" y="19849"/>
                    <wp:lineTo x="20944" y="0"/>
                    <wp:lineTo x="537" y="0"/>
                  </wp:wrapPolygon>
                </wp:wrapTight>
                <wp:docPr id="15993120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52425"/>
                        </a:xfrm>
                        <a:prstGeom prst="rect">
                          <a:avLst/>
                        </a:prstGeom>
                        <a:noFill/>
                        <a:ln w="9525">
                          <a:noFill/>
                          <a:miter lim="800000"/>
                          <a:headEnd/>
                          <a:tailEnd/>
                        </a:ln>
                      </wps:spPr>
                      <wps:txbx>
                        <w:txbxContent>
                          <w:p w14:paraId="3858CEF3" w14:textId="39B79B7E" w:rsidR="00B3229B" w:rsidRPr="00B3229B" w:rsidRDefault="00B3229B" w:rsidP="00B3229B">
                            <w:pPr>
                              <w:jc w:val="center"/>
                              <w:rPr>
                                <w:i/>
                                <w:iCs/>
                                <w:sz w:val="16"/>
                                <w:szCs w:val="14"/>
                              </w:rPr>
                            </w:pPr>
                            <w:r w:rsidRPr="00B3229B">
                              <w:rPr>
                                <w:i/>
                                <w:iCs/>
                                <w:sz w:val="16"/>
                                <w:szCs w:val="14"/>
                              </w:rPr>
                              <w:t xml:space="preserve">Share of labour demand met by projected labour supply, for </w:t>
                            </w:r>
                            <w:r>
                              <w:rPr>
                                <w:b/>
                                <w:bCs/>
                                <w:i/>
                                <w:iCs/>
                                <w:sz w:val="16"/>
                                <w:szCs w:val="14"/>
                                <w:u w:val="single"/>
                              </w:rPr>
                              <w:t>base</w:t>
                            </w:r>
                            <w:r w:rsidRPr="00B3229B">
                              <w:rPr>
                                <w:i/>
                                <w:iCs/>
                                <w:sz w:val="16"/>
                                <w:szCs w:val="14"/>
                              </w:rPr>
                              <w:t xml:space="preserve"> scenario</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55305ACB" id="_x0000_s1027" type="#_x0000_t202" style="position:absolute;margin-left:245.5pt;margin-top:47.9pt;width:185.9pt;height:27.75pt;z-index:-251658219;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" filled="f" stroked="f">
                <v:textbox>
                  <w:txbxContent>
                    <w:p w14:paraId="3858CEF3" w14:textId="39B79B7E" w:rsidR="00B3229B" w:rsidRPr="00B3229B" w:rsidRDefault="00B3229B" w:rsidP="00B3229B">
                      <w:pPr>
                        <w:jc w:val="center"/>
                        <w:rPr>
                          <w:i/>
                          <w:iCs/>
                          <w:sz w:val="16"/>
                          <w:szCs w:val="14"/>
                        </w:rPr>
                      </w:pPr>
                      <w:r w:rsidRPr="00B3229B">
                        <w:rPr>
                          <w:i/>
                          <w:iCs/>
                          <w:sz w:val="16"/>
                          <w:szCs w:val="14"/>
                        </w:rPr>
                        <w:t xml:space="preserve">Share of labour demand met by projected labour supply, for </w:t>
                      </w:r>
                      <w:r>
                        <w:rPr>
                          <w:b/>
                          <w:bCs/>
                          <w:i/>
                          <w:iCs/>
                          <w:sz w:val="16"/>
                          <w:szCs w:val="14"/>
                          <w:u w:val="single"/>
                        </w:rPr>
                        <w:t>base</w:t>
                      </w:r>
                      <w:r w:rsidRPr="00B3229B">
                        <w:rPr>
                          <w:i/>
                          <w:iCs/>
                          <w:sz w:val="16"/>
                          <w:szCs w:val="14"/>
                        </w:rPr>
                        <w:t xml:space="preserve"> scenario</w:t>
                      </w:r>
                    </w:p>
                  </w:txbxContent>
                </v:textbox>
                <w10:wrap type="tight"/>
              </v:shape>
            </w:pict>
          </mc:Fallback>
        </mc:AlternateContent>
      </w:r>
      <w:r w:rsidR="00B507C7" w:rsidRPr="00B507C7">
        <w:rPr>
          <w:b/>
          <w:bCs/>
          <w:color w:val="008C9B" w:themeColor="text2"/>
        </w:rPr>
        <w:t xml:space="preserve">Current labour supply is insufficient to meet Welsh Government and CCC residential decarbonisation targets, with workforce shortfalls projected to </w:t>
      </w:r>
      <w:r>
        <w:rPr>
          <w:b/>
          <w:bCs/>
          <w:color w:val="008C9B" w:themeColor="text2"/>
        </w:rPr>
        <w:t>widen to 57,500 core workers</w:t>
      </w:r>
      <w:r w:rsidR="00B507C7" w:rsidRPr="00B507C7">
        <w:rPr>
          <w:b/>
          <w:bCs/>
          <w:color w:val="008C9B" w:themeColor="text2"/>
        </w:rPr>
        <w:t>.</w:t>
      </w:r>
    </w:p>
    <w:p w14:paraId="7F19BE8C" w14:textId="7A88E8A0" w:rsidR="008C7C68" w:rsidRPr="00167C62" w:rsidRDefault="00EF63F2" w:rsidP="00B553D0">
      <w:pPr>
        <w:pStyle w:val="ListParagraph"/>
        <w:numPr>
          <w:ilvl w:val="0"/>
          <w:numId w:val="38"/>
        </w:numPr>
        <w:spacing w:after="120" w:line="278" w:lineRule="auto"/>
        <w:jc w:val="both"/>
      </w:pPr>
      <w:r w:rsidRPr="00167C62">
        <w:t>Under the base scenario</w:t>
      </w:r>
      <w:r w:rsidR="00B3229B" w:rsidRPr="00167C62">
        <w:rPr>
          <w:noProof/>
        </w:rPr>
        <mc:AlternateContent>
          <mc:Choice Requires="wps">
            <w:drawing>
              <wp:anchor distT="45720" distB="45720" distL="114300" distR="114300" simplePos="0" relativeHeight="251658262" behindDoc="1" locked="0" layoutInCell="1" allowOverlap="1" wp14:anchorId="13500BCD" wp14:editId="26790D3E">
                <wp:simplePos x="0" y="0"/>
                <wp:positionH relativeFrom="column">
                  <wp:posOffset>852170</wp:posOffset>
                </wp:positionH>
                <wp:positionV relativeFrom="paragraph">
                  <wp:posOffset>-85725</wp:posOffset>
                </wp:positionV>
                <wp:extent cx="914400" cy="476250"/>
                <wp:effectExtent l="0" t="0" r="0" b="0"/>
                <wp:wrapTight wrapText="bothSides">
                  <wp:wrapPolygon edited="0">
                    <wp:start x="1350" y="0"/>
                    <wp:lineTo x="1350" y="20736"/>
                    <wp:lineTo x="19800" y="20736"/>
                    <wp:lineTo x="19800" y="0"/>
                    <wp:lineTo x="1350" y="0"/>
                  </wp:wrapPolygon>
                </wp:wrapTight>
                <wp:docPr id="19167564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w="9525">
                          <a:noFill/>
                          <a:miter lim="800000"/>
                          <a:headEnd/>
                          <a:tailEnd/>
                        </a:ln>
                      </wps:spPr>
                      <wps:txbx>
                        <w:txbxContent>
                          <w:p w14:paraId="22FD506F" w14:textId="31D0F98B" w:rsidR="00B3229B" w:rsidRPr="00B3229B" w:rsidRDefault="00B3229B" w:rsidP="00B3229B">
                            <w:pPr>
                              <w:jc w:val="center"/>
                              <w:rPr>
                                <w:i/>
                                <w:iCs/>
                                <w:sz w:val="16"/>
                                <w:szCs w:val="14"/>
                              </w:rPr>
                            </w:pPr>
                            <w:r>
                              <w:rPr>
                                <w:i/>
                                <w:iCs/>
                                <w:sz w:val="16"/>
                                <w:szCs w:val="14"/>
                              </w:rPr>
                              <w:t>Workforce gaps under</w:t>
                            </w:r>
                            <w:r w:rsidRPr="00B3229B">
                              <w:rPr>
                                <w:i/>
                                <w:iCs/>
                                <w:sz w:val="16"/>
                                <w:szCs w:val="14"/>
                              </w:rPr>
                              <w:t xml:space="preserve"> </w:t>
                            </w:r>
                            <w:r>
                              <w:rPr>
                                <w:b/>
                                <w:bCs/>
                                <w:i/>
                                <w:iCs/>
                                <w:sz w:val="16"/>
                                <w:szCs w:val="14"/>
                                <w:u w:val="single"/>
                              </w:rPr>
                              <w:t>base</w:t>
                            </w:r>
                            <w:r w:rsidRPr="00B3229B">
                              <w:rPr>
                                <w:i/>
                                <w:iCs/>
                                <w:sz w:val="16"/>
                                <w:szCs w:val="14"/>
                              </w:rPr>
                              <w:t xml:space="preserve"> scenario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500BCD" id="_x0000_s1028" type="#_x0000_t202" style="position:absolute;left:0;text-align:left;margin-left:67.1pt;margin-top:-6.75pt;width:1in;height:37.5pt;z-index:-25165821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" filled="f" stroked="f">
                <v:textbox>
                  <w:txbxContent>
                    <w:p w14:paraId="22FD506F" w14:textId="31D0F98B" w:rsidR="00B3229B" w:rsidRPr="00B3229B" w:rsidRDefault="00B3229B" w:rsidP="00B3229B">
                      <w:pPr>
                        <w:jc w:val="center"/>
                        <w:rPr>
                          <w:i/>
                          <w:iCs/>
                          <w:sz w:val="16"/>
                          <w:szCs w:val="14"/>
                        </w:rPr>
                      </w:pPr>
                      <w:r>
                        <w:rPr>
                          <w:i/>
                          <w:iCs/>
                          <w:sz w:val="16"/>
                          <w:szCs w:val="14"/>
                        </w:rPr>
                        <w:t>Workforce gaps under</w:t>
                      </w:r>
                      <w:r w:rsidRPr="00B3229B">
                        <w:rPr>
                          <w:i/>
                          <w:iCs/>
                          <w:sz w:val="16"/>
                          <w:szCs w:val="14"/>
                        </w:rPr>
                        <w:t xml:space="preserve"> </w:t>
                      </w:r>
                      <w:r>
                        <w:rPr>
                          <w:b/>
                          <w:bCs/>
                          <w:i/>
                          <w:iCs/>
                          <w:sz w:val="16"/>
                          <w:szCs w:val="14"/>
                          <w:u w:val="single"/>
                        </w:rPr>
                        <w:t>base</w:t>
                      </w:r>
                      <w:r w:rsidRPr="00B3229B">
                        <w:rPr>
                          <w:i/>
                          <w:iCs/>
                          <w:sz w:val="16"/>
                          <w:szCs w:val="14"/>
                        </w:rPr>
                        <w:t xml:space="preserve"> scenario</w:t>
                      </w:r>
                    </w:p>
                  </w:txbxContent>
                </v:textbox>
                <w10:wrap type="tight"/>
              </v:shape>
            </w:pict>
          </mc:Fallback>
        </mc:AlternateContent>
      </w:r>
      <w:r w:rsidRPr="00167C62">
        <w:rPr>
          <w:noProof/>
        </w:rPr>
        <w:t xml:space="preserve">, which </w:t>
      </w:r>
      <w:r w:rsidRPr="00167C62">
        <w:t>assumes that demand moves according to CCC retrofit installation goals under the Balanced Pathway, accelerating significantly from its current position, around 3,400 additional workers would be required in 2025/26 across core retrofit roles for labour supply to keep pace with CCC-aligned delivery.</w:t>
      </w:r>
    </w:p>
    <w:p w14:paraId="29D3E248" w14:textId="2BD66B99" w:rsidR="00EF63F2" w:rsidRPr="00167C62" w:rsidRDefault="00EF63F2" w:rsidP="00B553D0">
      <w:pPr>
        <w:pStyle w:val="ListParagraph"/>
        <w:numPr>
          <w:ilvl w:val="0"/>
          <w:numId w:val="38"/>
        </w:numPr>
        <w:spacing w:after="120" w:line="278" w:lineRule="auto"/>
        <w:jc w:val="both"/>
      </w:pPr>
      <w:r w:rsidRPr="00167C62">
        <w:t xml:space="preserve">This shortfall is projected to increase steadily, reaching </w:t>
      </w:r>
      <w:r w:rsidRPr="00167C62">
        <w:rPr>
          <w:rStyle w:val="Strong"/>
        </w:rPr>
        <w:t>approximately 57,500 workers by 2034/35</w:t>
      </w:r>
      <w:r w:rsidRPr="00167C62">
        <w:t>.</w:t>
      </w:r>
    </w:p>
    <w:p w14:paraId="12533E70" w14:textId="2EDEC82D" w:rsidR="00EF63F2" w:rsidRPr="00167C62" w:rsidRDefault="00EF63F2" w:rsidP="00B553D0">
      <w:pPr>
        <w:pStyle w:val="ListParagraph"/>
        <w:numPr>
          <w:ilvl w:val="0"/>
          <w:numId w:val="38"/>
        </w:numPr>
        <w:spacing w:after="120" w:line="278" w:lineRule="auto"/>
        <w:jc w:val="both"/>
      </w:pPr>
      <w:r w:rsidRPr="00167C62">
        <w:t xml:space="preserve">In proportional terms, labour supply currently meets around 87% of retrofit demand, though it falls substantially, </w:t>
      </w:r>
      <w:r w:rsidR="000C3BF7" w:rsidRPr="00167C62">
        <w:t xml:space="preserve">to </w:t>
      </w:r>
      <w:r w:rsidRPr="00167C62">
        <w:t>around 25% by the end of the ten-year horizon as delivery accelerates.</w:t>
      </w:r>
    </w:p>
    <w:p w14:paraId="390E8891" w14:textId="77777777" w:rsidR="00B12E3B" w:rsidRDefault="008C7C68" w:rsidP="00B553D0">
      <w:pPr>
        <w:pStyle w:val="ListParagraph"/>
        <w:numPr>
          <w:ilvl w:val="0"/>
          <w:numId w:val="38"/>
        </w:numPr>
        <w:spacing w:after="120" w:line="278" w:lineRule="auto"/>
        <w:jc w:val="both"/>
      </w:pPr>
      <w:r w:rsidRPr="00167C62">
        <w:t xml:space="preserve">The workforce gap is largely driven by heat pump installation targets. Under the CCC’s Balanced Pathway, yearly heat pump installations need to increase nearly 15-fold over the </w:t>
      </w:r>
      <w:r w:rsidR="00B507C7" w:rsidRPr="00167C62">
        <w:t>forecast horizon</w:t>
      </w:r>
      <w:r w:rsidRPr="00167C62">
        <w:t xml:space="preserve">. </w:t>
      </w:r>
    </w:p>
    <w:p w14:paraId="7B51510E" w14:textId="72C11243" w:rsidR="00B507C7" w:rsidRPr="00B12E3B" w:rsidRDefault="00B12E3B" w:rsidP="00B553D0">
      <w:pPr>
        <w:pStyle w:val="ListParagraph"/>
        <w:numPr>
          <w:ilvl w:val="0"/>
          <w:numId w:val="38"/>
        </w:numPr>
        <w:spacing w:after="120" w:line="278" w:lineRule="auto"/>
        <w:jc w:val="both"/>
      </w:pPr>
      <w:r w:rsidRPr="00B12E3B">
        <w:t>The base scenario assumes that retrofit becomes cheaper and less disruptive, making it easier to meet growing public appetite for home decarbonisation. However, without a parallel expansion in workforce this trajectory would not be met.</w:t>
      </w:r>
    </w:p>
    <w:p w14:paraId="33AC802B" w14:textId="77777777" w:rsidR="000C3BF7" w:rsidRDefault="000C3BF7" w:rsidP="00B553D0">
      <w:pPr>
        <w:spacing w:after="120" w:line="278" w:lineRule="auto"/>
        <w:rPr>
          <w:b/>
          <w:bCs/>
          <w:color w:val="008C9B" w:themeColor="text2"/>
        </w:rPr>
      </w:pPr>
    </w:p>
    <w:p w14:paraId="37452CCE" w14:textId="16E6A33A" w:rsidR="000C3BF7" w:rsidRDefault="000C3BF7" w:rsidP="00B553D0">
      <w:pPr>
        <w:spacing w:after="120" w:line="278" w:lineRule="auto"/>
        <w:rPr>
          <w:b/>
          <w:bCs/>
          <w:color w:val="008C9B" w:themeColor="text2"/>
        </w:rPr>
      </w:pPr>
    </w:p>
    <w:p w14:paraId="7E850C02" w14:textId="77777777" w:rsidR="00B12E3B" w:rsidRDefault="00B12E3B" w:rsidP="00B553D0">
      <w:pPr>
        <w:spacing w:after="120" w:line="278" w:lineRule="auto"/>
        <w:rPr>
          <w:b/>
          <w:bCs/>
          <w:color w:val="008C9B" w:themeColor="text2"/>
        </w:rPr>
      </w:pPr>
    </w:p>
    <w:p w14:paraId="6D2F3DBD" w14:textId="77777777" w:rsidR="00B12E3B" w:rsidRDefault="00B12E3B" w:rsidP="00B553D0">
      <w:pPr>
        <w:spacing w:after="120" w:line="278" w:lineRule="auto"/>
        <w:rPr>
          <w:b/>
          <w:bCs/>
          <w:color w:val="008C9B" w:themeColor="text2"/>
        </w:rPr>
      </w:pPr>
    </w:p>
    <w:p w14:paraId="78F261EA" w14:textId="7D4F9A31" w:rsidR="00B507C7" w:rsidRPr="00B507C7" w:rsidRDefault="00B507C7" w:rsidP="00B553D0">
      <w:pPr>
        <w:spacing w:after="120" w:line="278" w:lineRule="auto"/>
      </w:pPr>
      <w:r w:rsidRPr="0063412E">
        <w:rPr>
          <w:b/>
          <w:bCs/>
        </w:rPr>
        <w:lastRenderedPageBreak/>
        <w:t>Scenario projections</w:t>
      </w:r>
    </w:p>
    <w:p w14:paraId="7FFB335C" w14:textId="6BD1E350" w:rsidR="008C7C68" w:rsidRPr="008C0A8D" w:rsidRDefault="003D5466" w:rsidP="00E66B98">
      <w:pPr>
        <w:spacing w:after="120" w:line="278" w:lineRule="auto"/>
        <w:jc w:val="both"/>
        <w:rPr>
          <w:b/>
          <w:bCs/>
          <w:color w:val="008C9B" w:themeColor="text2"/>
        </w:rPr>
      </w:pPr>
      <w:r w:rsidRPr="00167C62">
        <w:rPr>
          <w:noProof/>
        </w:rPr>
        <mc:AlternateContent>
          <mc:Choice Requires="wps">
            <w:drawing>
              <wp:anchor distT="45720" distB="45720" distL="114300" distR="114300" simplePos="0" relativeHeight="251658264" behindDoc="1" locked="0" layoutInCell="1" allowOverlap="1" wp14:anchorId="233C4B44" wp14:editId="285A639A">
                <wp:simplePos x="0" y="0"/>
                <wp:positionH relativeFrom="column">
                  <wp:posOffset>5389880</wp:posOffset>
                </wp:positionH>
                <wp:positionV relativeFrom="paragraph">
                  <wp:posOffset>871855</wp:posOffset>
                </wp:positionV>
                <wp:extent cx="504825" cy="342900"/>
                <wp:effectExtent l="0" t="0" r="0" b="0"/>
                <wp:wrapTight wrapText="bothSides">
                  <wp:wrapPolygon edited="0">
                    <wp:start x="2445" y="0"/>
                    <wp:lineTo x="2445" y="20400"/>
                    <wp:lineTo x="18747" y="20400"/>
                    <wp:lineTo x="18747" y="0"/>
                    <wp:lineTo x="2445" y="0"/>
                  </wp:wrapPolygon>
                </wp:wrapTight>
                <wp:docPr id="600579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342900"/>
                        </a:xfrm>
                        <a:prstGeom prst="rect">
                          <a:avLst/>
                        </a:prstGeom>
                        <a:noFill/>
                        <a:ln w="9525">
                          <a:noFill/>
                          <a:miter lim="800000"/>
                          <a:headEnd/>
                          <a:tailEnd/>
                        </a:ln>
                      </wps:spPr>
                      <wps:txbx>
                        <w:txbxContent>
                          <w:p w14:paraId="3FA4D5B7" w14:textId="180D106A" w:rsidR="00DE6D7C" w:rsidRPr="00E66B98" w:rsidRDefault="00DE6D7C" w:rsidP="00DE6D7C">
                            <w:pPr>
                              <w:jc w:val="center"/>
                              <w:rPr>
                                <w:sz w:val="16"/>
                                <w:szCs w:val="14"/>
                              </w:rPr>
                            </w:pPr>
                            <w:r w:rsidRPr="00E66B98">
                              <w:rPr>
                                <w:sz w:val="16"/>
                                <w:szCs w:val="14"/>
                              </w:rPr>
                              <w:t>100% Line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3C4B44" id="_x0000_s1029" type="#_x0000_t202" style="position:absolute;left:0;text-align:left;margin-left:424.4pt;margin-top:68.65pt;width:39.75pt;height:27pt;z-index:-251658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" filled="f" stroked="f">
                <v:textbox>
                  <w:txbxContent>
                    <w:p w14:paraId="3FA4D5B7" w14:textId="180D106A" w:rsidR="00DE6D7C" w:rsidRPr="00E66B98" w:rsidRDefault="00DE6D7C" w:rsidP="00DE6D7C">
                      <w:pPr>
                        <w:jc w:val="center"/>
                        <w:rPr>
                          <w:sz w:val="16"/>
                          <w:szCs w:val="14"/>
                        </w:rPr>
                      </w:pPr>
                      <w:r w:rsidRPr="00E66B98">
                        <w:rPr>
                          <w:sz w:val="16"/>
                          <w:szCs w:val="14"/>
                        </w:rPr>
                        <w:t>100% Line</w:t>
                      </w:r>
                    </w:p>
                  </w:txbxContent>
                </v:textbox>
                <w10:wrap type="tight"/>
              </v:shape>
            </w:pict>
          </mc:Fallback>
        </mc:AlternateContent>
      </w:r>
      <w:r>
        <w:rPr>
          <w:noProof/>
        </w:rPr>
        <mc:AlternateContent>
          <mc:Choice Requires="wps">
            <w:drawing>
              <wp:anchor distT="0" distB="0" distL="114300" distR="114300" simplePos="0" relativeHeight="251659293" behindDoc="0" locked="0" layoutInCell="1" allowOverlap="1" wp14:anchorId="0B840465" wp14:editId="2CDA850A">
                <wp:simplePos x="0" y="0"/>
                <wp:positionH relativeFrom="column">
                  <wp:posOffset>3209290</wp:posOffset>
                </wp:positionH>
                <wp:positionV relativeFrom="paragraph">
                  <wp:posOffset>1024255</wp:posOffset>
                </wp:positionV>
                <wp:extent cx="2295525" cy="0"/>
                <wp:effectExtent l="0" t="0" r="0" b="0"/>
                <wp:wrapNone/>
                <wp:docPr id="1375861588" name="Straight Connector 24"/>
                <wp:cNvGraphicFramePr/>
                <a:graphic xmlns:a="http://schemas.openxmlformats.org/drawingml/2006/main">
                  <a:graphicData uri="http://schemas.microsoft.com/office/word/2010/wordprocessingShape">
                    <wps:wsp>
                      <wps:cNvCnPr/>
                      <wps:spPr>
                        <a:xfrm>
                          <a:off x="0" y="0"/>
                          <a:ext cx="2295525"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495997" id="Straight Connector 24" o:spid="_x0000_s1026" style="position:absolute;z-index:251659293;visibility:visible;mso-wrap-style:square;mso-wrap-distance-left:9pt;mso-wrap-distance-top:0;mso-wrap-distance-right:9pt;mso-wrap-distance-bottom:0;mso-position-horizontal:absolute;mso-position-horizontal-relative:text;mso-position-vertical:absolute;mso-position-vertical-relative:text" from="252.7pt,80.65pt" to="433.45pt,8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" strokecolor="black [3213]" strokeweight=".5pt"/>
            </w:pict>
          </mc:Fallback>
        </mc:AlternateContent>
      </w:r>
      <w:r w:rsidR="00B12E3B" w:rsidRPr="00167C62">
        <w:rPr>
          <w:noProof/>
        </w:rPr>
        <mc:AlternateContent>
          <mc:Choice Requires="wps">
            <w:drawing>
              <wp:anchor distT="45720" distB="45720" distL="114300" distR="114300" simplePos="0" relativeHeight="251658260" behindDoc="1" locked="0" layoutInCell="1" allowOverlap="1" wp14:anchorId="7D2A8E3E" wp14:editId="7CCB8267">
                <wp:simplePos x="0" y="0"/>
                <wp:positionH relativeFrom="column">
                  <wp:posOffset>3144520</wp:posOffset>
                </wp:positionH>
                <wp:positionV relativeFrom="paragraph">
                  <wp:posOffset>520065</wp:posOffset>
                </wp:positionV>
                <wp:extent cx="2290445" cy="352425"/>
                <wp:effectExtent l="0" t="0" r="0" b="0"/>
                <wp:wrapTight wrapText="bothSides">
                  <wp:wrapPolygon edited="0">
                    <wp:start x="539" y="0"/>
                    <wp:lineTo x="539" y="19849"/>
                    <wp:lineTo x="21019" y="19849"/>
                    <wp:lineTo x="21019" y="0"/>
                    <wp:lineTo x="539" y="0"/>
                  </wp:wrapPolygon>
                </wp:wrapTight>
                <wp:docPr id="1314499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0445" cy="352425"/>
                        </a:xfrm>
                        <a:prstGeom prst="rect">
                          <a:avLst/>
                        </a:prstGeom>
                        <a:noFill/>
                        <a:ln w="9525">
                          <a:noFill/>
                          <a:miter lim="800000"/>
                          <a:headEnd/>
                          <a:tailEnd/>
                        </a:ln>
                      </wps:spPr>
                      <wps:txbx>
                        <w:txbxContent>
                          <w:p w14:paraId="0EAC8A3A" w14:textId="5AF2E6E0" w:rsidR="00B3229B" w:rsidRPr="00B3229B" w:rsidRDefault="00B3229B" w:rsidP="00B3229B">
                            <w:pPr>
                              <w:jc w:val="center"/>
                              <w:rPr>
                                <w:i/>
                                <w:iCs/>
                                <w:sz w:val="16"/>
                                <w:szCs w:val="14"/>
                              </w:rPr>
                            </w:pPr>
                            <w:r w:rsidRPr="00B3229B">
                              <w:rPr>
                                <w:i/>
                                <w:iCs/>
                                <w:sz w:val="16"/>
                                <w:szCs w:val="14"/>
                              </w:rPr>
                              <w:t xml:space="preserve">Share of labour demand met by projected labour supply, for </w:t>
                            </w:r>
                            <w:r>
                              <w:rPr>
                                <w:b/>
                                <w:bCs/>
                                <w:i/>
                                <w:iCs/>
                                <w:sz w:val="16"/>
                                <w:szCs w:val="14"/>
                                <w:u w:val="single"/>
                              </w:rPr>
                              <w:t>low</w:t>
                            </w:r>
                            <w:r w:rsidRPr="00B3229B">
                              <w:rPr>
                                <w:b/>
                                <w:bCs/>
                                <w:i/>
                                <w:iCs/>
                                <w:sz w:val="16"/>
                                <w:szCs w:val="14"/>
                                <w:u w:val="single"/>
                              </w:rPr>
                              <w:t>-demand</w:t>
                            </w:r>
                            <w:r w:rsidRPr="00B3229B">
                              <w:rPr>
                                <w:i/>
                                <w:iCs/>
                                <w:sz w:val="16"/>
                                <w:szCs w:val="14"/>
                              </w:rPr>
                              <w:t xml:space="preserve"> scenario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2A8E3E" id="_x0000_s1030" type="#_x0000_t202" style="position:absolute;left:0;text-align:left;margin-left:247.6pt;margin-top:40.95pt;width:180.35pt;height:27.75pt;z-index:-2516582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" filled="f" stroked="f">
                <v:textbox>
                  <w:txbxContent>
                    <w:p w14:paraId="0EAC8A3A" w14:textId="5AF2E6E0" w:rsidR="00B3229B" w:rsidRPr="00B3229B" w:rsidRDefault="00B3229B" w:rsidP="00B3229B">
                      <w:pPr>
                        <w:jc w:val="center"/>
                        <w:rPr>
                          <w:i/>
                          <w:iCs/>
                          <w:sz w:val="16"/>
                          <w:szCs w:val="14"/>
                        </w:rPr>
                      </w:pPr>
                      <w:r w:rsidRPr="00B3229B">
                        <w:rPr>
                          <w:i/>
                          <w:iCs/>
                          <w:sz w:val="16"/>
                          <w:szCs w:val="14"/>
                        </w:rPr>
                        <w:t xml:space="preserve">Share of labour demand met by projected labour supply, for </w:t>
                      </w:r>
                      <w:r>
                        <w:rPr>
                          <w:b/>
                          <w:bCs/>
                          <w:i/>
                          <w:iCs/>
                          <w:sz w:val="16"/>
                          <w:szCs w:val="14"/>
                          <w:u w:val="single"/>
                        </w:rPr>
                        <w:t>low</w:t>
                      </w:r>
                      <w:r w:rsidRPr="00B3229B">
                        <w:rPr>
                          <w:b/>
                          <w:bCs/>
                          <w:i/>
                          <w:iCs/>
                          <w:sz w:val="16"/>
                          <w:szCs w:val="14"/>
                          <w:u w:val="single"/>
                        </w:rPr>
                        <w:t>-demand</w:t>
                      </w:r>
                      <w:r w:rsidRPr="00B3229B">
                        <w:rPr>
                          <w:i/>
                          <w:iCs/>
                          <w:sz w:val="16"/>
                          <w:szCs w:val="14"/>
                        </w:rPr>
                        <w:t xml:space="preserve"> scenario</w:t>
                      </w:r>
                    </w:p>
                  </w:txbxContent>
                </v:textbox>
                <w10:wrap type="tight"/>
              </v:shape>
            </w:pict>
          </mc:Fallback>
        </mc:AlternateContent>
      </w:r>
      <w:r w:rsidR="00B12E3B" w:rsidRPr="00167C62">
        <w:rPr>
          <w:noProof/>
        </w:rPr>
        <w:drawing>
          <wp:anchor distT="0" distB="0" distL="114300" distR="114300" simplePos="0" relativeHeight="251658240" behindDoc="0" locked="0" layoutInCell="1" allowOverlap="1" wp14:anchorId="6125DEC1" wp14:editId="3CF3CF12">
            <wp:simplePos x="0" y="0"/>
            <wp:positionH relativeFrom="column">
              <wp:posOffset>2835275</wp:posOffset>
            </wp:positionH>
            <wp:positionV relativeFrom="paragraph">
              <wp:posOffset>565785</wp:posOffset>
            </wp:positionV>
            <wp:extent cx="2894330" cy="1885950"/>
            <wp:effectExtent l="0" t="0" r="1270" b="0"/>
            <wp:wrapThrough wrapText="bothSides">
              <wp:wrapPolygon edited="0">
                <wp:start x="0" y="0"/>
                <wp:lineTo x="0" y="21382"/>
                <wp:lineTo x="21467" y="21382"/>
                <wp:lineTo x="21467" y="0"/>
                <wp:lineTo x="0" y="0"/>
              </wp:wrapPolygon>
            </wp:wrapThrough>
            <wp:docPr id="1400353277" name="Chart 1" descr="Line chart showing the share of retrofit labour demand met by projected labour supply under the low-demand scenario. Coverage falls initially before partially recovering towards the end of the forecast period.">
              <a:extLst xmlns:a="http://schemas.openxmlformats.org/drawingml/2006/main">
                <a:ext uri="{FF2B5EF4-FFF2-40B4-BE49-F238E27FC236}">
                  <a16:creationId xmlns:a16="http://schemas.microsoft.com/office/drawing/2014/main" id="{89A267EF-DD8C-4DF8-9CBF-E26DFDF41DD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sidR="00854CD8" w:rsidRPr="00167C62">
        <w:rPr>
          <w:noProof/>
        </w:rPr>
        <w:drawing>
          <wp:anchor distT="0" distB="0" distL="114300" distR="114300" simplePos="0" relativeHeight="251658265" behindDoc="0" locked="0" layoutInCell="1" allowOverlap="1" wp14:anchorId="4BC555AC" wp14:editId="5F01D1C2">
            <wp:simplePos x="0" y="0"/>
            <wp:positionH relativeFrom="column">
              <wp:posOffset>-9525</wp:posOffset>
            </wp:positionH>
            <wp:positionV relativeFrom="paragraph">
              <wp:posOffset>571500</wp:posOffset>
            </wp:positionV>
            <wp:extent cx="2894330" cy="1885950"/>
            <wp:effectExtent l="0" t="0" r="1270" b="0"/>
            <wp:wrapThrough wrapText="bothSides">
              <wp:wrapPolygon edited="0">
                <wp:start x="0" y="0"/>
                <wp:lineTo x="0" y="21382"/>
                <wp:lineTo x="21467" y="21382"/>
                <wp:lineTo x="21467" y="0"/>
                <wp:lineTo x="0" y="0"/>
              </wp:wrapPolygon>
            </wp:wrapThrough>
            <wp:docPr id="1704916664" name="Chart 1" descr="Bar chart showing projected workforce gaps under the low-demand scenario. Labour demand rises in the near term before stabilising and easing later in the period, while labour supply declines steadily, producing workforce gaps that widen initially before narrowing towards the end of the forecast period.">
              <a:extLst xmlns:a="http://schemas.openxmlformats.org/drawingml/2006/main">
                <a:ext uri="{FF2B5EF4-FFF2-40B4-BE49-F238E27FC236}">
                  <a16:creationId xmlns:a16="http://schemas.microsoft.com/office/drawing/2014/main" id="{0E3EF229-AAC2-DAA5-C36B-5B7795B0FB6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margin">
              <wp14:pctWidth>0</wp14:pctWidth>
            </wp14:sizeRelH>
          </wp:anchor>
        </w:drawing>
      </w:r>
      <w:r w:rsidR="00412607">
        <w:rPr>
          <w:b/>
          <w:bCs/>
          <w:color w:val="008C9B" w:themeColor="text2"/>
        </w:rPr>
        <w:t>Even in</w:t>
      </w:r>
      <w:r w:rsidR="00D43CEB" w:rsidRPr="00167C62">
        <w:rPr>
          <w:b/>
          <w:bCs/>
          <w:color w:val="008C9B" w:themeColor="text2"/>
        </w:rPr>
        <w:t xml:space="preserve"> </w:t>
      </w:r>
      <w:r w:rsidR="00412607">
        <w:rPr>
          <w:b/>
          <w:bCs/>
          <w:color w:val="008C9B" w:themeColor="text2"/>
        </w:rPr>
        <w:t>a</w:t>
      </w:r>
      <w:r w:rsidR="00D43CEB" w:rsidRPr="00167C62">
        <w:rPr>
          <w:b/>
          <w:bCs/>
          <w:color w:val="008C9B" w:themeColor="text2"/>
        </w:rPr>
        <w:t xml:space="preserve"> low</w:t>
      </w:r>
      <w:r w:rsidR="00412607">
        <w:rPr>
          <w:b/>
          <w:bCs/>
          <w:color w:val="008C9B" w:themeColor="text2"/>
        </w:rPr>
        <w:t>-</w:t>
      </w:r>
      <w:r w:rsidR="00D43CEB" w:rsidRPr="00167C62">
        <w:rPr>
          <w:b/>
          <w:bCs/>
          <w:color w:val="008C9B" w:themeColor="text2"/>
        </w:rPr>
        <w:t xml:space="preserve">demand scenario, </w:t>
      </w:r>
      <w:r w:rsidR="00412607">
        <w:rPr>
          <w:b/>
          <w:bCs/>
          <w:color w:val="008C9B" w:themeColor="text2"/>
        </w:rPr>
        <w:t>workforce gaps are present from the outset</w:t>
      </w:r>
      <w:r w:rsidR="00D75338">
        <w:rPr>
          <w:b/>
          <w:bCs/>
          <w:color w:val="008C9B" w:themeColor="text2"/>
        </w:rPr>
        <w:t xml:space="preserve"> (a shortage of 500 core workers)</w:t>
      </w:r>
      <w:r w:rsidR="00412607">
        <w:rPr>
          <w:b/>
          <w:bCs/>
          <w:color w:val="008C9B" w:themeColor="text2"/>
        </w:rPr>
        <w:t xml:space="preserve"> and are expected to initially widen before easing later in the forecast period</w:t>
      </w:r>
      <w:r w:rsidR="00D43CEB" w:rsidRPr="00167C62">
        <w:rPr>
          <w:b/>
          <w:bCs/>
          <w:color w:val="008C9B" w:themeColor="text2"/>
        </w:rPr>
        <w:t>.</w:t>
      </w:r>
      <w:r w:rsidR="00E66B98" w:rsidRPr="00167C62">
        <w:rPr>
          <w:noProof/>
        </w:rPr>
        <mc:AlternateContent>
          <mc:Choice Requires="wps">
            <w:drawing>
              <wp:anchor distT="45720" distB="45720" distL="114300" distR="114300" simplePos="0" relativeHeight="251658266" behindDoc="1" locked="0" layoutInCell="1" allowOverlap="1" wp14:anchorId="7D782270" wp14:editId="337056BC">
                <wp:simplePos x="0" y="0"/>
                <wp:positionH relativeFrom="column">
                  <wp:posOffset>327025</wp:posOffset>
                </wp:positionH>
                <wp:positionV relativeFrom="paragraph">
                  <wp:posOffset>581025</wp:posOffset>
                </wp:positionV>
                <wp:extent cx="2228850" cy="238125"/>
                <wp:effectExtent l="0" t="0" r="0" b="0"/>
                <wp:wrapTight wrapText="bothSides">
                  <wp:wrapPolygon edited="0">
                    <wp:start x="554" y="0"/>
                    <wp:lineTo x="554" y="19008"/>
                    <wp:lineTo x="20862" y="19008"/>
                    <wp:lineTo x="20862" y="0"/>
                    <wp:lineTo x="554" y="0"/>
                  </wp:wrapPolygon>
                </wp:wrapTight>
                <wp:docPr id="18767307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238125"/>
                        </a:xfrm>
                        <a:prstGeom prst="rect">
                          <a:avLst/>
                        </a:prstGeom>
                        <a:noFill/>
                        <a:ln w="9525">
                          <a:noFill/>
                          <a:miter lim="800000"/>
                          <a:headEnd/>
                          <a:tailEnd/>
                        </a:ln>
                      </wps:spPr>
                      <wps:txbx>
                        <w:txbxContent>
                          <w:p w14:paraId="1989DFE6" w14:textId="4F3C78CE" w:rsidR="00E66B98" w:rsidRPr="00B3229B" w:rsidRDefault="00E66B98" w:rsidP="00E66B98">
                            <w:pPr>
                              <w:jc w:val="center"/>
                              <w:rPr>
                                <w:i/>
                                <w:iCs/>
                                <w:sz w:val="16"/>
                                <w:szCs w:val="14"/>
                              </w:rPr>
                            </w:pPr>
                            <w:r>
                              <w:rPr>
                                <w:i/>
                                <w:iCs/>
                                <w:sz w:val="16"/>
                                <w:szCs w:val="14"/>
                              </w:rPr>
                              <w:t>Workforce gaps under</w:t>
                            </w:r>
                            <w:r w:rsidRPr="00B3229B">
                              <w:rPr>
                                <w:i/>
                                <w:iCs/>
                                <w:sz w:val="16"/>
                                <w:szCs w:val="14"/>
                              </w:rPr>
                              <w:t xml:space="preserve"> </w:t>
                            </w:r>
                            <w:r>
                              <w:rPr>
                                <w:b/>
                                <w:bCs/>
                                <w:i/>
                                <w:iCs/>
                                <w:sz w:val="16"/>
                                <w:szCs w:val="14"/>
                                <w:u w:val="single"/>
                              </w:rPr>
                              <w:t xml:space="preserve">low-demand </w:t>
                            </w:r>
                            <w:r w:rsidRPr="00B3229B">
                              <w:rPr>
                                <w:i/>
                                <w:iCs/>
                                <w:sz w:val="16"/>
                                <w:szCs w:val="14"/>
                              </w:rPr>
                              <w:t>scenario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782270" id="_x0000_s1031" type="#_x0000_t202" style="position:absolute;left:0;text-align:left;margin-left:25.75pt;margin-top:45.75pt;width:175.5pt;height:18.75pt;z-index:-25165821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" filled="f" stroked="f">
                <v:textbox>
                  <w:txbxContent>
                    <w:p w14:paraId="1989DFE6" w14:textId="4F3C78CE" w:rsidR="00E66B98" w:rsidRPr="00B3229B" w:rsidRDefault="00E66B98" w:rsidP="00E66B98">
                      <w:pPr>
                        <w:jc w:val="center"/>
                        <w:rPr>
                          <w:i/>
                          <w:iCs/>
                          <w:sz w:val="16"/>
                          <w:szCs w:val="14"/>
                        </w:rPr>
                      </w:pPr>
                      <w:r>
                        <w:rPr>
                          <w:i/>
                          <w:iCs/>
                          <w:sz w:val="16"/>
                          <w:szCs w:val="14"/>
                        </w:rPr>
                        <w:t>Workforce gaps under</w:t>
                      </w:r>
                      <w:r w:rsidRPr="00B3229B">
                        <w:rPr>
                          <w:i/>
                          <w:iCs/>
                          <w:sz w:val="16"/>
                          <w:szCs w:val="14"/>
                        </w:rPr>
                        <w:t xml:space="preserve"> </w:t>
                      </w:r>
                      <w:r>
                        <w:rPr>
                          <w:b/>
                          <w:bCs/>
                          <w:i/>
                          <w:iCs/>
                          <w:sz w:val="16"/>
                          <w:szCs w:val="14"/>
                          <w:u w:val="single"/>
                        </w:rPr>
                        <w:t xml:space="preserve">low-demand </w:t>
                      </w:r>
                      <w:r w:rsidRPr="00B3229B">
                        <w:rPr>
                          <w:i/>
                          <w:iCs/>
                          <w:sz w:val="16"/>
                          <w:szCs w:val="14"/>
                        </w:rPr>
                        <w:t>scenario</w:t>
                      </w:r>
                    </w:p>
                  </w:txbxContent>
                </v:textbox>
                <w10:wrap type="tight"/>
              </v:shape>
            </w:pict>
          </mc:Fallback>
        </mc:AlternateContent>
      </w:r>
      <w:r w:rsidR="00E66B98" w:rsidRPr="00E66B98">
        <w:rPr>
          <w:noProof/>
        </w:rPr>
        <w:t xml:space="preserve"> </w:t>
      </w:r>
    </w:p>
    <w:p w14:paraId="72AD574C" w14:textId="77777777" w:rsidR="00452D98" w:rsidRPr="00452D98" w:rsidRDefault="00D75338" w:rsidP="0020405C">
      <w:pPr>
        <w:pStyle w:val="ListParagraph"/>
        <w:numPr>
          <w:ilvl w:val="0"/>
          <w:numId w:val="39"/>
        </w:numPr>
        <w:spacing w:after="120" w:line="278" w:lineRule="auto"/>
        <w:jc w:val="both"/>
        <w:rPr>
          <w:b/>
          <w:bCs/>
        </w:rPr>
      </w:pPr>
      <w:r>
        <w:t xml:space="preserve">This scenario assumes some near-term scale-up in retrofit delivery, including heat pump installations, but no sustained acceleration relative to CCC pathways. </w:t>
      </w:r>
      <w:r w:rsidR="009405FF">
        <w:t>Activity plateau</w:t>
      </w:r>
      <w:r>
        <w:t>s</w:t>
      </w:r>
      <w:r w:rsidR="009405FF">
        <w:t xml:space="preserve"> and subsequent</w:t>
      </w:r>
      <w:r>
        <w:t>ly</w:t>
      </w:r>
      <w:r w:rsidR="009405FF">
        <w:t xml:space="preserve"> </w:t>
      </w:r>
      <w:r>
        <w:t>eases</w:t>
      </w:r>
      <w:r w:rsidR="009405FF">
        <w:t xml:space="preserve"> later in the forecast period. </w:t>
      </w:r>
      <w:r>
        <w:t xml:space="preserve">Consequently, </w:t>
      </w:r>
      <w:r w:rsidRPr="00167C62">
        <w:t xml:space="preserve">labour demand rises in the second half of the 2020s but stabilises and declines </w:t>
      </w:r>
      <w:r>
        <w:t>from 2031/32 onwards.</w:t>
      </w:r>
      <w:r w:rsidR="0020405C">
        <w:t xml:space="preserve"> </w:t>
      </w:r>
      <w:r w:rsidR="009405FF">
        <w:t>It also assumes the same labour dynamics as the other scenarios, meaning a slight contraction in available labour supply.</w:t>
      </w:r>
    </w:p>
    <w:p w14:paraId="6C7F3B04" w14:textId="20B6BAB9" w:rsidR="009405FF" w:rsidRPr="0020405C" w:rsidRDefault="00452D98" w:rsidP="0020405C">
      <w:pPr>
        <w:pStyle w:val="ListParagraph"/>
        <w:numPr>
          <w:ilvl w:val="0"/>
          <w:numId w:val="39"/>
        </w:numPr>
        <w:spacing w:after="120" w:line="278" w:lineRule="auto"/>
        <w:jc w:val="both"/>
        <w:rPr>
          <w:b/>
          <w:bCs/>
        </w:rPr>
      </w:pPr>
      <w:r>
        <w:t xml:space="preserve">This scenario gives a nowcast for current demand levels, allowing for estimation of the retrofit workforce gap in Wales at the time of writing. It is estimated that </w:t>
      </w:r>
      <w:r w:rsidR="00FC31B3">
        <w:t xml:space="preserve">core </w:t>
      </w:r>
      <w:r>
        <w:t xml:space="preserve">labour demand </w:t>
      </w:r>
      <w:r w:rsidR="00795A5A">
        <w:t xml:space="preserve">exceeds </w:t>
      </w:r>
      <w:r w:rsidR="00FC31B3">
        <w:t xml:space="preserve">core </w:t>
      </w:r>
      <w:r>
        <w:t>supply by approximately 500 workers in FY 2025/26.</w:t>
      </w:r>
    </w:p>
    <w:p w14:paraId="15943799" w14:textId="2A87A091" w:rsidR="00D43CEB" w:rsidRPr="00167C62" w:rsidRDefault="00D43CEB" w:rsidP="0063412E">
      <w:pPr>
        <w:pStyle w:val="ListParagraph"/>
        <w:numPr>
          <w:ilvl w:val="0"/>
          <w:numId w:val="39"/>
        </w:numPr>
        <w:spacing w:after="120" w:line="278" w:lineRule="auto"/>
        <w:jc w:val="both"/>
        <w:rPr>
          <w:b/>
          <w:bCs/>
        </w:rPr>
      </w:pPr>
      <w:r w:rsidRPr="00167C62">
        <w:t xml:space="preserve">Resultantly, </w:t>
      </w:r>
      <w:r w:rsidR="00D75338">
        <w:t>shortfalls increase through the late 2020s and peak in the early 2030s, before easing thereafter.</w:t>
      </w:r>
    </w:p>
    <w:p w14:paraId="68E5FAE8" w14:textId="5B9D3AD3" w:rsidR="008C7C68" w:rsidRPr="00167C62" w:rsidRDefault="00D75338" w:rsidP="0063412E">
      <w:pPr>
        <w:pStyle w:val="ListParagraph"/>
        <w:numPr>
          <w:ilvl w:val="0"/>
          <w:numId w:val="39"/>
        </w:numPr>
        <w:spacing w:after="120" w:line="278" w:lineRule="auto"/>
        <w:jc w:val="both"/>
        <w:rPr>
          <w:b/>
          <w:bCs/>
        </w:rPr>
      </w:pPr>
      <w:r w:rsidRPr="00D75338">
        <w:t xml:space="preserve">This U-shaped profile highlights that </w:t>
      </w:r>
      <w:r>
        <w:t xml:space="preserve">while </w:t>
      </w:r>
      <w:r w:rsidRPr="00D75338">
        <w:t xml:space="preserve">lower ambition reduces the scale of workforce shortages over time, </w:t>
      </w:r>
      <w:r>
        <w:t>it</w:t>
      </w:r>
      <w:r w:rsidRPr="00D75338">
        <w:t xml:space="preserve"> does not eliminate them</w:t>
      </w:r>
      <w:r>
        <w:t xml:space="preserve"> entirely. Rather,</w:t>
      </w:r>
      <w:r w:rsidRPr="00D75338">
        <w:t xml:space="preserve"> improvements in workforce </w:t>
      </w:r>
      <w:r>
        <w:t>shortages</w:t>
      </w:r>
      <w:r w:rsidRPr="00D75338">
        <w:t xml:space="preserve"> arise from easing demand rather than a strengthening of labour supply</w:t>
      </w:r>
      <w:r w:rsidR="00D43CEB" w:rsidRPr="00167C62">
        <w:t>.</w:t>
      </w:r>
    </w:p>
    <w:p w14:paraId="59D7949C" w14:textId="0B1974D6" w:rsidR="008C7C68" w:rsidRDefault="00854CD8" w:rsidP="00B3229B">
      <w:pPr>
        <w:spacing w:after="120" w:line="278" w:lineRule="auto"/>
        <w:jc w:val="both"/>
        <w:rPr>
          <w:b/>
          <w:bCs/>
          <w:color w:val="008C9B" w:themeColor="text2"/>
        </w:rPr>
      </w:pPr>
      <w:r>
        <w:rPr>
          <w:noProof/>
        </w:rPr>
        <mc:AlternateContent>
          <mc:Choice Requires="wps">
            <w:drawing>
              <wp:anchor distT="45720" distB="45720" distL="114300" distR="114300" simplePos="0" relativeHeight="251658268" behindDoc="1" locked="0" layoutInCell="1" allowOverlap="1" wp14:anchorId="355D4662" wp14:editId="1ABA35F8">
                <wp:simplePos x="0" y="0"/>
                <wp:positionH relativeFrom="column">
                  <wp:posOffset>419100</wp:posOffset>
                </wp:positionH>
                <wp:positionV relativeFrom="paragraph">
                  <wp:posOffset>664210</wp:posOffset>
                </wp:positionV>
                <wp:extent cx="1447800" cy="466725"/>
                <wp:effectExtent l="0" t="0" r="0" b="0"/>
                <wp:wrapTight wrapText="bothSides">
                  <wp:wrapPolygon edited="0">
                    <wp:start x="853" y="0"/>
                    <wp:lineTo x="853" y="20278"/>
                    <wp:lineTo x="20463" y="20278"/>
                    <wp:lineTo x="20463" y="0"/>
                    <wp:lineTo x="853" y="0"/>
                  </wp:wrapPolygon>
                </wp:wrapTight>
                <wp:docPr id="17030547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800" cy="466725"/>
                        </a:xfrm>
                        <a:prstGeom prst="rect">
                          <a:avLst/>
                        </a:prstGeom>
                        <a:noFill/>
                        <a:ln w="9525">
                          <a:noFill/>
                          <a:miter lim="800000"/>
                          <a:headEnd/>
                          <a:tailEnd/>
                        </a:ln>
                      </wps:spPr>
                      <wps:txbx>
                        <w:txbxContent>
                          <w:p w14:paraId="6AACAC9C" w14:textId="4261200B" w:rsidR="00854CD8" w:rsidRPr="00B3229B" w:rsidRDefault="00854CD8" w:rsidP="00854CD8">
                            <w:pPr>
                              <w:jc w:val="center"/>
                              <w:rPr>
                                <w:i/>
                                <w:iCs/>
                                <w:sz w:val="16"/>
                                <w:szCs w:val="14"/>
                              </w:rPr>
                            </w:pPr>
                            <w:r>
                              <w:rPr>
                                <w:i/>
                                <w:iCs/>
                                <w:sz w:val="16"/>
                                <w:szCs w:val="14"/>
                              </w:rPr>
                              <w:t>Workforce gaps under</w:t>
                            </w:r>
                            <w:r w:rsidRPr="00B3229B">
                              <w:rPr>
                                <w:i/>
                                <w:iCs/>
                                <w:sz w:val="16"/>
                                <w:szCs w:val="14"/>
                              </w:rPr>
                              <w:t xml:space="preserve"> </w:t>
                            </w:r>
                            <w:r>
                              <w:rPr>
                                <w:b/>
                                <w:bCs/>
                                <w:i/>
                                <w:iCs/>
                                <w:sz w:val="16"/>
                                <w:szCs w:val="14"/>
                                <w:u w:val="single"/>
                              </w:rPr>
                              <w:t xml:space="preserve">high-demand </w:t>
                            </w:r>
                            <w:r w:rsidRPr="00B3229B">
                              <w:rPr>
                                <w:i/>
                                <w:iCs/>
                                <w:sz w:val="16"/>
                                <w:szCs w:val="14"/>
                              </w:rPr>
                              <w:t>scenario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5D4662" id="_x0000_s1032" type="#_x0000_t202" style="position:absolute;left:0;text-align:left;margin-left:33pt;margin-top:52.3pt;width:114pt;height:36.75pt;z-index:-2516582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" filled="f" stroked="f">
                <v:textbox>
                  <w:txbxContent>
                    <w:p w14:paraId="6AACAC9C" w14:textId="4261200B" w:rsidR="00854CD8" w:rsidRPr="00B3229B" w:rsidRDefault="00854CD8" w:rsidP="00854CD8">
                      <w:pPr>
                        <w:jc w:val="center"/>
                        <w:rPr>
                          <w:i/>
                          <w:iCs/>
                          <w:sz w:val="16"/>
                          <w:szCs w:val="14"/>
                        </w:rPr>
                      </w:pPr>
                      <w:r>
                        <w:rPr>
                          <w:i/>
                          <w:iCs/>
                          <w:sz w:val="16"/>
                          <w:szCs w:val="14"/>
                        </w:rPr>
                        <w:t>Workforce gaps under</w:t>
                      </w:r>
                      <w:r w:rsidRPr="00B3229B">
                        <w:rPr>
                          <w:i/>
                          <w:iCs/>
                          <w:sz w:val="16"/>
                          <w:szCs w:val="14"/>
                        </w:rPr>
                        <w:t xml:space="preserve"> </w:t>
                      </w:r>
                      <w:r>
                        <w:rPr>
                          <w:b/>
                          <w:bCs/>
                          <w:i/>
                          <w:iCs/>
                          <w:sz w:val="16"/>
                          <w:szCs w:val="14"/>
                          <w:u w:val="single"/>
                        </w:rPr>
                        <w:t xml:space="preserve">high-demand </w:t>
                      </w:r>
                      <w:r w:rsidRPr="00B3229B">
                        <w:rPr>
                          <w:i/>
                          <w:iCs/>
                          <w:sz w:val="16"/>
                          <w:szCs w:val="14"/>
                        </w:rPr>
                        <w:t>scenario</w:t>
                      </w:r>
                    </w:p>
                  </w:txbxContent>
                </v:textbox>
                <w10:wrap type="tight"/>
              </v:shape>
            </w:pict>
          </mc:Fallback>
        </mc:AlternateContent>
      </w:r>
      <w:r>
        <w:rPr>
          <w:noProof/>
        </w:rPr>
        <mc:AlternateContent>
          <mc:Choice Requires="wps">
            <w:drawing>
              <wp:anchor distT="45720" distB="45720" distL="114300" distR="114300" simplePos="0" relativeHeight="251658259" behindDoc="1" locked="0" layoutInCell="1" allowOverlap="1" wp14:anchorId="6CA27D14" wp14:editId="01AEA148">
                <wp:simplePos x="0" y="0"/>
                <wp:positionH relativeFrom="column">
                  <wp:posOffset>3265170</wp:posOffset>
                </wp:positionH>
                <wp:positionV relativeFrom="paragraph">
                  <wp:posOffset>658495</wp:posOffset>
                </wp:positionV>
                <wp:extent cx="2360930" cy="352425"/>
                <wp:effectExtent l="0" t="0" r="0" b="0"/>
                <wp:wrapThrough wrapText="bothSides">
                  <wp:wrapPolygon edited="0">
                    <wp:start x="537" y="0"/>
                    <wp:lineTo x="537" y="19849"/>
                    <wp:lineTo x="20944" y="19849"/>
                    <wp:lineTo x="20944" y="0"/>
                    <wp:lineTo x="537" y="0"/>
                  </wp:wrapPolygon>
                </wp:wrapThrough>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52425"/>
                        </a:xfrm>
                        <a:prstGeom prst="rect">
                          <a:avLst/>
                        </a:prstGeom>
                        <a:noFill/>
                        <a:ln w="9525">
                          <a:noFill/>
                          <a:miter lim="800000"/>
                          <a:headEnd/>
                          <a:tailEnd/>
                        </a:ln>
                      </wps:spPr>
                      <wps:txbx>
                        <w:txbxContent>
                          <w:p w14:paraId="4ECD35F4" w14:textId="10AFA04C" w:rsidR="00B3229B" w:rsidRPr="00B3229B" w:rsidRDefault="00B3229B" w:rsidP="00B3229B">
                            <w:pPr>
                              <w:jc w:val="center"/>
                              <w:rPr>
                                <w:i/>
                                <w:iCs/>
                                <w:sz w:val="16"/>
                                <w:szCs w:val="14"/>
                              </w:rPr>
                            </w:pPr>
                            <w:r w:rsidRPr="00B3229B">
                              <w:rPr>
                                <w:i/>
                                <w:iCs/>
                                <w:sz w:val="16"/>
                                <w:szCs w:val="14"/>
                              </w:rPr>
                              <w:t xml:space="preserve">Share of labour demand met by projected labour supply, for </w:t>
                            </w:r>
                            <w:r w:rsidRPr="00B3229B">
                              <w:rPr>
                                <w:b/>
                                <w:bCs/>
                                <w:i/>
                                <w:iCs/>
                                <w:sz w:val="16"/>
                                <w:szCs w:val="14"/>
                                <w:u w:val="single"/>
                              </w:rPr>
                              <w:t>high-demand</w:t>
                            </w:r>
                            <w:r w:rsidRPr="00B3229B">
                              <w:rPr>
                                <w:i/>
                                <w:iCs/>
                                <w:sz w:val="16"/>
                                <w:szCs w:val="14"/>
                              </w:rPr>
                              <w:t xml:space="preserve"> scenario</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6CA27D14" id="_x0000_s1033" type="#_x0000_t202" style="position:absolute;left:0;text-align:left;margin-left:257.1pt;margin-top:51.85pt;width:185.9pt;height:27.75pt;z-index:-251658221;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" filled="f" stroked="f">
                <v:textbox>
                  <w:txbxContent>
                    <w:p w14:paraId="4ECD35F4" w14:textId="10AFA04C" w:rsidR="00B3229B" w:rsidRPr="00B3229B" w:rsidRDefault="00B3229B" w:rsidP="00B3229B">
                      <w:pPr>
                        <w:jc w:val="center"/>
                        <w:rPr>
                          <w:i/>
                          <w:iCs/>
                          <w:sz w:val="16"/>
                          <w:szCs w:val="14"/>
                        </w:rPr>
                      </w:pPr>
                      <w:r w:rsidRPr="00B3229B">
                        <w:rPr>
                          <w:i/>
                          <w:iCs/>
                          <w:sz w:val="16"/>
                          <w:szCs w:val="14"/>
                        </w:rPr>
                        <w:t xml:space="preserve">Share of labour demand met by projected labour supply, for </w:t>
                      </w:r>
                      <w:r w:rsidRPr="00B3229B">
                        <w:rPr>
                          <w:b/>
                          <w:bCs/>
                          <w:i/>
                          <w:iCs/>
                          <w:sz w:val="16"/>
                          <w:szCs w:val="14"/>
                          <w:u w:val="single"/>
                        </w:rPr>
                        <w:t>high-demand</w:t>
                      </w:r>
                      <w:r w:rsidRPr="00B3229B">
                        <w:rPr>
                          <w:i/>
                          <w:iCs/>
                          <w:sz w:val="16"/>
                          <w:szCs w:val="14"/>
                        </w:rPr>
                        <w:t xml:space="preserve"> scenario</w:t>
                      </w:r>
                    </w:p>
                  </w:txbxContent>
                </v:textbox>
                <w10:wrap type="through"/>
              </v:shape>
            </w:pict>
          </mc:Fallback>
        </mc:AlternateContent>
      </w:r>
      <w:r>
        <w:rPr>
          <w:noProof/>
        </w:rPr>
        <w:drawing>
          <wp:anchor distT="0" distB="0" distL="114300" distR="114300" simplePos="0" relativeHeight="251658258" behindDoc="0" locked="0" layoutInCell="1" allowOverlap="1" wp14:anchorId="04A6522E" wp14:editId="6C335FB1">
            <wp:simplePos x="0" y="0"/>
            <wp:positionH relativeFrom="column">
              <wp:posOffset>2847975</wp:posOffset>
            </wp:positionH>
            <wp:positionV relativeFrom="paragraph">
              <wp:posOffset>588010</wp:posOffset>
            </wp:positionV>
            <wp:extent cx="2894330" cy="1885950"/>
            <wp:effectExtent l="0" t="0" r="1270" b="0"/>
            <wp:wrapTopAndBottom/>
            <wp:docPr id="64733618" name="Chart 1" descr="Line chart showing the share of retrofit labour demand met by projected labour supply under the high-demand scenario. The decline in coverage here represents an acceleration on the decline in coverage in the base scenario.">
              <a:extLst xmlns:a="http://schemas.openxmlformats.org/drawingml/2006/main">
                <a:ext uri="{FF2B5EF4-FFF2-40B4-BE49-F238E27FC236}">
                  <a16:creationId xmlns:a16="http://schemas.microsoft.com/office/drawing/2014/main" id="{E96DBBA7-B217-468E-B21A-C75B5C8F239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67" behindDoc="0" locked="0" layoutInCell="1" allowOverlap="1" wp14:anchorId="67484D76" wp14:editId="45FFA155">
            <wp:simplePos x="0" y="0"/>
            <wp:positionH relativeFrom="column">
              <wp:posOffset>-9525</wp:posOffset>
            </wp:positionH>
            <wp:positionV relativeFrom="paragraph">
              <wp:posOffset>588010</wp:posOffset>
            </wp:positionV>
            <wp:extent cx="2894330" cy="1885950"/>
            <wp:effectExtent l="0" t="0" r="1270" b="0"/>
            <wp:wrapTopAndBottom/>
            <wp:docPr id="1464313535" name="Chart 1" descr="Bar chart showing projected workforce gaps under a high-demand retrofit pathway. Labour demand rises more quickly than in the base scenario, while labour supply follows the same declining trend, leading to larger and earlier workforce gaps.">
              <a:extLst xmlns:a="http://schemas.openxmlformats.org/drawingml/2006/main">
                <a:ext uri="{FF2B5EF4-FFF2-40B4-BE49-F238E27FC236}">
                  <a16:creationId xmlns:a16="http://schemas.microsoft.com/office/drawing/2014/main" id="{180B0B17-E6BA-48E0-9BFB-1D40BB6F47F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r w:rsidR="007552C5">
        <w:rPr>
          <w:b/>
          <w:bCs/>
          <w:color w:val="008C9B" w:themeColor="text2"/>
        </w:rPr>
        <w:t>In a high</w:t>
      </w:r>
      <w:r>
        <w:rPr>
          <w:b/>
          <w:bCs/>
          <w:color w:val="008C9B" w:themeColor="text2"/>
        </w:rPr>
        <w:t>-</w:t>
      </w:r>
      <w:r w:rsidR="007552C5">
        <w:rPr>
          <w:b/>
          <w:bCs/>
          <w:color w:val="008C9B" w:themeColor="text2"/>
        </w:rPr>
        <w:t>demand scenario, s</w:t>
      </w:r>
      <w:r w:rsidR="008C7C68" w:rsidRPr="008C0A8D">
        <w:rPr>
          <w:b/>
          <w:bCs/>
          <w:color w:val="008C9B" w:themeColor="text2"/>
        </w:rPr>
        <w:t xml:space="preserve">ignificant changes to the technological landscape and </w:t>
      </w:r>
      <w:r w:rsidR="007552C5">
        <w:rPr>
          <w:b/>
          <w:bCs/>
          <w:color w:val="008C9B" w:themeColor="text2"/>
        </w:rPr>
        <w:t xml:space="preserve">reductions in the </w:t>
      </w:r>
      <w:r w:rsidR="008C7C68" w:rsidRPr="008C0A8D">
        <w:rPr>
          <w:b/>
          <w:bCs/>
          <w:color w:val="008C9B" w:themeColor="text2"/>
        </w:rPr>
        <w:t xml:space="preserve">cost of home retrofits could push </w:t>
      </w:r>
      <w:r w:rsidR="007552C5">
        <w:rPr>
          <w:b/>
          <w:bCs/>
          <w:color w:val="008C9B" w:themeColor="text2"/>
        </w:rPr>
        <w:t>up demand</w:t>
      </w:r>
      <w:r w:rsidR="0087248B">
        <w:rPr>
          <w:b/>
          <w:bCs/>
          <w:color w:val="008C9B" w:themeColor="text2"/>
        </w:rPr>
        <w:t xml:space="preserve">, </w:t>
      </w:r>
      <w:r w:rsidR="00CF7725">
        <w:rPr>
          <w:b/>
          <w:bCs/>
          <w:color w:val="008C9B" w:themeColor="text2"/>
        </w:rPr>
        <w:t xml:space="preserve">increasing </w:t>
      </w:r>
      <w:r w:rsidR="008C7C68" w:rsidRPr="008C0A8D">
        <w:rPr>
          <w:b/>
          <w:bCs/>
          <w:color w:val="008C9B" w:themeColor="text2"/>
        </w:rPr>
        <w:t xml:space="preserve">the workforce gap to over 74,400 </w:t>
      </w:r>
      <w:r>
        <w:rPr>
          <w:b/>
          <w:bCs/>
          <w:color w:val="008C9B" w:themeColor="text2"/>
        </w:rPr>
        <w:t xml:space="preserve">core </w:t>
      </w:r>
      <w:r w:rsidR="008C7C68" w:rsidRPr="008C0A8D">
        <w:rPr>
          <w:b/>
          <w:bCs/>
          <w:color w:val="008C9B" w:themeColor="text2"/>
        </w:rPr>
        <w:t>workers (80% of the required workforce) by 2034/35.</w:t>
      </w:r>
    </w:p>
    <w:p w14:paraId="162376A7" w14:textId="2800A2BD" w:rsidR="00854CD8" w:rsidRPr="008C0A8D" w:rsidRDefault="00854CD8" w:rsidP="00B3229B">
      <w:pPr>
        <w:spacing w:after="120" w:line="278" w:lineRule="auto"/>
        <w:jc w:val="both"/>
        <w:rPr>
          <w:b/>
          <w:bCs/>
          <w:color w:val="008C9B" w:themeColor="text2"/>
        </w:rPr>
      </w:pPr>
    </w:p>
    <w:p w14:paraId="3E6D07F4" w14:textId="2A89434E" w:rsidR="008C7C68" w:rsidRDefault="008C7C68" w:rsidP="00B3229B">
      <w:pPr>
        <w:pStyle w:val="ListParagraph"/>
        <w:numPr>
          <w:ilvl w:val="0"/>
          <w:numId w:val="40"/>
        </w:numPr>
        <w:spacing w:after="120" w:line="278" w:lineRule="auto"/>
        <w:jc w:val="both"/>
      </w:pPr>
      <w:r>
        <w:lastRenderedPageBreak/>
        <w:t>Like the base scenario, our high demand scenario considers the potential for significant positive shocks to demand for home retrofitting. This scenario considers a more optimistic case for technological progress and general affordability in Wales, making home retrofit more accessible for all households.</w:t>
      </w:r>
    </w:p>
    <w:p w14:paraId="59D4AA1C" w14:textId="5A607D6F" w:rsidR="00854CD8" w:rsidRPr="00D75338" w:rsidRDefault="008C7C68" w:rsidP="00B3229B">
      <w:pPr>
        <w:pStyle w:val="ListParagraph"/>
        <w:numPr>
          <w:ilvl w:val="0"/>
          <w:numId w:val="40"/>
        </w:numPr>
        <w:spacing w:after="120" w:line="278" w:lineRule="auto"/>
        <w:jc w:val="both"/>
      </w:pPr>
      <w:r>
        <w:t xml:space="preserve">This extra demand is expected to lead a requirement of 45,000 extra </w:t>
      </w:r>
      <w:r w:rsidR="000232A3" w:rsidRPr="000232A3">
        <w:rPr>
          <w:i/>
          <w:iCs/>
        </w:rPr>
        <w:t>direct</w:t>
      </w:r>
      <w:r w:rsidR="000232A3">
        <w:t xml:space="preserve"> </w:t>
      </w:r>
      <w:r>
        <w:t>workers to assist with physical installations alone.</w:t>
      </w:r>
    </w:p>
    <w:p w14:paraId="24E07827" w14:textId="13018ACC" w:rsidR="00B3229B" w:rsidRPr="0063412E" w:rsidRDefault="00B3229B" w:rsidP="00B3229B">
      <w:pPr>
        <w:spacing w:after="120" w:line="278" w:lineRule="auto"/>
      </w:pPr>
      <w:r>
        <w:rPr>
          <w:b/>
          <w:bCs/>
        </w:rPr>
        <w:t>Implications</w:t>
      </w:r>
    </w:p>
    <w:p w14:paraId="3EAD05C8" w14:textId="6F452833" w:rsidR="008C7C68" w:rsidRPr="008C0A8D" w:rsidRDefault="008C7C68" w:rsidP="00B3229B">
      <w:pPr>
        <w:spacing w:after="120" w:line="278" w:lineRule="auto"/>
        <w:jc w:val="both"/>
        <w:rPr>
          <w:b/>
          <w:bCs/>
          <w:color w:val="008C9B" w:themeColor="text2"/>
        </w:rPr>
      </w:pPr>
      <w:r w:rsidRPr="008C0A8D">
        <w:rPr>
          <w:b/>
          <w:bCs/>
          <w:color w:val="008C9B" w:themeColor="text2"/>
        </w:rPr>
        <w:t>The report highlights structural challenges in meeting the Welsh Government’s</w:t>
      </w:r>
      <w:r w:rsidR="004C15F2">
        <w:rPr>
          <w:b/>
          <w:bCs/>
          <w:color w:val="008C9B" w:themeColor="text2"/>
        </w:rPr>
        <w:t xml:space="preserve"> </w:t>
      </w:r>
      <w:r w:rsidRPr="008C0A8D">
        <w:rPr>
          <w:b/>
          <w:bCs/>
          <w:color w:val="008C9B" w:themeColor="text2"/>
        </w:rPr>
        <w:t xml:space="preserve">home retrofitting targets, </w:t>
      </w:r>
      <w:r w:rsidR="004C15F2" w:rsidRPr="004C15F2">
        <w:rPr>
          <w:b/>
          <w:bCs/>
          <w:color w:val="008C9B" w:themeColor="text2"/>
        </w:rPr>
        <w:t xml:space="preserve">driven by both rising demand and declining </w:t>
      </w:r>
      <w:r w:rsidR="004C15F2">
        <w:rPr>
          <w:b/>
          <w:bCs/>
          <w:color w:val="008C9B" w:themeColor="text2"/>
        </w:rPr>
        <w:t>supply</w:t>
      </w:r>
    </w:p>
    <w:p w14:paraId="4530FB20" w14:textId="4D90B188" w:rsidR="004C15F2" w:rsidRPr="00167C62" w:rsidRDefault="004C15F2" w:rsidP="00B3229B">
      <w:pPr>
        <w:pStyle w:val="ListParagraph"/>
        <w:numPr>
          <w:ilvl w:val="0"/>
          <w:numId w:val="41"/>
        </w:numPr>
        <w:spacing w:after="120" w:line="278" w:lineRule="auto"/>
        <w:jc w:val="both"/>
      </w:pPr>
      <w:r w:rsidRPr="00167C62">
        <w:t>Even in the absence of further increases in retrofit demand, core labour supply is projected to decline over the next decade, implying that existing labour market dynamics are unlikely to deliver the workforce required to meet Wales’s retrofit and decarbonisation objectives at scale.</w:t>
      </w:r>
    </w:p>
    <w:p w14:paraId="0EC3AD04" w14:textId="64EEC4A4" w:rsidR="008C7C68" w:rsidRPr="00167C62" w:rsidRDefault="004C15F2" w:rsidP="00B3229B">
      <w:pPr>
        <w:pStyle w:val="ListParagraph"/>
        <w:numPr>
          <w:ilvl w:val="0"/>
          <w:numId w:val="41"/>
        </w:numPr>
        <w:spacing w:after="120" w:line="278" w:lineRule="auto"/>
        <w:jc w:val="both"/>
      </w:pPr>
      <w:r w:rsidRPr="00167C62">
        <w:t>Consequently, there is an existing shortfall in the retrofit-relevant core workforce, which is projected to widen over time under pathways aligned with Welsh Government and CCC ambitions.</w:t>
      </w:r>
    </w:p>
    <w:p w14:paraId="0069E654" w14:textId="62693531" w:rsidR="004C15F2" w:rsidRPr="00167C62" w:rsidRDefault="004C15F2" w:rsidP="00B3229B">
      <w:pPr>
        <w:pStyle w:val="ListParagraph"/>
        <w:numPr>
          <w:ilvl w:val="0"/>
          <w:numId w:val="41"/>
        </w:numPr>
        <w:spacing w:after="120" w:line="278" w:lineRule="auto"/>
        <w:jc w:val="both"/>
      </w:pPr>
      <w:r w:rsidRPr="00167C62">
        <w:t>Even under our ‘stall’</w:t>
      </w:r>
      <w:r w:rsidR="000633E8" w:rsidRPr="00167C62">
        <w:t xml:space="preserve"> </w:t>
      </w:r>
      <w:r w:rsidRPr="00167C62">
        <w:t xml:space="preserve">low-demand scenario, workforce shortages exist </w:t>
      </w:r>
      <w:r w:rsidR="00FC31B3">
        <w:t>throughout the forecast horizon</w:t>
      </w:r>
      <w:r w:rsidRPr="00167C62">
        <w:t xml:space="preserve">, </w:t>
      </w:r>
      <w:r w:rsidR="00446137" w:rsidRPr="00167C62">
        <w:t>illustrating the sensitivity of workforce balance to delivery trajectories.</w:t>
      </w:r>
    </w:p>
    <w:p w14:paraId="06115D27" w14:textId="71ADE4A2" w:rsidR="004C15F2" w:rsidRPr="00167C62" w:rsidRDefault="004C15F2" w:rsidP="00B3229B">
      <w:pPr>
        <w:pStyle w:val="ListParagraph"/>
        <w:numPr>
          <w:ilvl w:val="0"/>
          <w:numId w:val="41"/>
        </w:numPr>
        <w:spacing w:after="120" w:line="278" w:lineRule="auto"/>
        <w:jc w:val="both"/>
      </w:pPr>
      <w:r w:rsidRPr="00167C62">
        <w:t xml:space="preserve">A policy approach must therefore consider retrofit delivery and workforce strategy jointly. </w:t>
      </w:r>
      <w:r w:rsidR="004903C4">
        <w:t>I</w:t>
      </w:r>
      <w:r w:rsidRPr="00167C62">
        <w:t>ncremental measures such as higher apprenticeship funding, reduced out-commuting, or modest redeployment from adjacent occupations can ease pressures at the margin, but none are sufficient on their own, or in their current configuration, to close the projected workforce gaps.</w:t>
      </w:r>
    </w:p>
    <w:p w14:paraId="281F71AA" w14:textId="3BFE71A8" w:rsidR="00E668E5" w:rsidRPr="00FC31B3" w:rsidRDefault="00446137" w:rsidP="00FC31B3">
      <w:pPr>
        <w:pStyle w:val="ListParagraph"/>
        <w:numPr>
          <w:ilvl w:val="0"/>
          <w:numId w:val="41"/>
        </w:numPr>
        <w:spacing w:after="120" w:line="278" w:lineRule="auto"/>
        <w:jc w:val="both"/>
      </w:pPr>
      <w:r w:rsidRPr="00167C62">
        <w:t>Among the supply-side levers considered, redeployment from adjacent occupations offers the greatest potential uplift, even under conservative assumptions. As such, m</w:t>
      </w:r>
      <w:r w:rsidR="008C7C68" w:rsidRPr="00167C62">
        <w:t>obilisation of the 115,000-strong adjacent workforce through targeted redeployment programmes would be an important part of any policy solution.</w:t>
      </w:r>
    </w:p>
    <w:p w14:paraId="726EF338" w14:textId="4073736A" w:rsidR="00BB4060" w:rsidRPr="008879A5" w:rsidRDefault="008879A5" w:rsidP="008879A5">
      <w:pPr>
        <w:pStyle w:val="Caption"/>
        <w:rPr>
          <w:color w:val="6D6E71" w:themeColor="accent3"/>
          <w:sz w:val="18"/>
          <w:szCs w:val="18"/>
        </w:rPr>
      </w:pPr>
      <w:r w:rsidRPr="008879A5">
        <w:rPr>
          <w:color w:val="6D6E71" w:themeColor="accent3"/>
          <w:sz w:val="18"/>
          <w:szCs w:val="18"/>
        </w:rPr>
        <w:t xml:space="preserve">Table </w:t>
      </w:r>
      <w:r w:rsidRPr="008879A5">
        <w:rPr>
          <w:color w:val="6D6E71" w:themeColor="accent3"/>
          <w:sz w:val="18"/>
          <w:szCs w:val="18"/>
        </w:rPr>
        <w:fldChar w:fldCharType="begin"/>
      </w:r>
      <w:r w:rsidRPr="008879A5">
        <w:rPr>
          <w:color w:val="6D6E71" w:themeColor="accent3"/>
          <w:sz w:val="18"/>
          <w:szCs w:val="18"/>
        </w:rPr>
        <w:instrText xml:space="preserve"> SEQ Table \* ARABIC </w:instrText>
      </w:r>
      <w:r w:rsidRPr="008879A5">
        <w:rPr>
          <w:color w:val="6D6E71" w:themeColor="accent3"/>
          <w:sz w:val="18"/>
          <w:szCs w:val="18"/>
        </w:rPr>
        <w:fldChar w:fldCharType="separate"/>
      </w:r>
      <w:r w:rsidR="004775B5">
        <w:rPr>
          <w:noProof/>
          <w:color w:val="6D6E71" w:themeColor="accent3"/>
          <w:sz w:val="18"/>
          <w:szCs w:val="18"/>
        </w:rPr>
        <w:t>1</w:t>
      </w:r>
      <w:r w:rsidRPr="008879A5">
        <w:rPr>
          <w:color w:val="6D6E71" w:themeColor="accent3"/>
          <w:sz w:val="18"/>
          <w:szCs w:val="18"/>
        </w:rPr>
        <w:fldChar w:fldCharType="end"/>
      </w:r>
      <w:r w:rsidRPr="008879A5">
        <w:rPr>
          <w:color w:val="6D6E71" w:themeColor="accent3"/>
          <w:sz w:val="18"/>
          <w:szCs w:val="18"/>
        </w:rPr>
        <w:t xml:space="preserve">: </w:t>
      </w:r>
      <w:r w:rsidR="00BB4060" w:rsidRPr="008879A5">
        <w:rPr>
          <w:color w:val="6D6E71" w:themeColor="accent3"/>
          <w:sz w:val="18"/>
          <w:szCs w:val="18"/>
        </w:rPr>
        <w:t>Labour demand and supply projections under alternative retrofit delivery scenarios</w:t>
      </w:r>
    </w:p>
    <w:tbl>
      <w:tblPr>
        <w:tblW w:w="0" w:type="auto"/>
        <w:jc w:val="center"/>
        <w:tblLayout w:type="fixed"/>
        <w:tblLook w:val="04A0" w:firstRow="1" w:lastRow="0" w:firstColumn="1" w:lastColumn="0" w:noHBand="0" w:noVBand="1"/>
        <w:tblCaption w:val="Table 1: Labour demand and supply projections under alternative retrofit delivery scenarios"/>
        <w:tblDescription w:val="Table showing projected labour demand and labour supply for retrofit delivery in Wales under base, high-demand, and low-demand scenarios from 2025/26 to 2034/35."/>
      </w:tblPr>
      <w:tblGrid>
        <w:gridCol w:w="947"/>
        <w:gridCol w:w="1201"/>
        <w:gridCol w:w="1202"/>
        <w:gridCol w:w="1201"/>
        <w:gridCol w:w="1202"/>
        <w:gridCol w:w="1201"/>
        <w:gridCol w:w="1202"/>
      </w:tblGrid>
      <w:tr w:rsidR="005B5899" w:rsidRPr="008879A5" w14:paraId="635A428D" w14:textId="77777777" w:rsidTr="00FC31B3">
        <w:trPr>
          <w:trHeight w:val="267"/>
          <w:jc w:val="center"/>
        </w:trPr>
        <w:tc>
          <w:tcPr>
            <w:tcW w:w="947" w:type="dxa"/>
            <w:tcBorders>
              <w:top w:val="nil"/>
              <w:left w:val="nil"/>
              <w:bottom w:val="nil"/>
              <w:right w:val="nil"/>
            </w:tcBorders>
            <w:noWrap/>
            <w:vAlign w:val="bottom"/>
            <w:hideMark/>
          </w:tcPr>
          <w:p w14:paraId="08A56519" w14:textId="77777777" w:rsidR="00BB4060" w:rsidRPr="008879A5" w:rsidRDefault="00BB4060" w:rsidP="00BB4060">
            <w:pPr>
              <w:spacing w:after="0"/>
              <w:rPr>
                <w:rFonts w:eastAsia="Times New Roman"/>
                <w:color w:val="auto"/>
                <w:sz w:val="20"/>
                <w:lang w:eastAsia="en-GB"/>
              </w:rPr>
            </w:pPr>
          </w:p>
        </w:tc>
        <w:tc>
          <w:tcPr>
            <w:tcW w:w="2403" w:type="dxa"/>
            <w:gridSpan w:val="2"/>
            <w:tcBorders>
              <w:top w:val="single" w:sz="8" w:space="0" w:color="auto"/>
              <w:left w:val="single" w:sz="8" w:space="0" w:color="auto"/>
              <w:bottom w:val="single" w:sz="8" w:space="0" w:color="auto"/>
              <w:right w:val="single" w:sz="8" w:space="0" w:color="000000"/>
            </w:tcBorders>
            <w:shd w:val="clear" w:color="auto" w:fill="008C9B" w:themeFill="accent1"/>
            <w:vAlign w:val="center"/>
            <w:hideMark/>
          </w:tcPr>
          <w:p w14:paraId="4C242282" w14:textId="75021146" w:rsidR="00BB4060" w:rsidRPr="008879A5" w:rsidRDefault="00BB4060" w:rsidP="00BB4060">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Base</w:t>
            </w:r>
          </w:p>
        </w:tc>
        <w:tc>
          <w:tcPr>
            <w:tcW w:w="2403" w:type="dxa"/>
            <w:gridSpan w:val="2"/>
            <w:tcBorders>
              <w:top w:val="single" w:sz="8" w:space="0" w:color="auto"/>
              <w:left w:val="nil"/>
              <w:bottom w:val="single" w:sz="8" w:space="0" w:color="auto"/>
              <w:right w:val="single" w:sz="8" w:space="0" w:color="000000"/>
            </w:tcBorders>
            <w:shd w:val="clear" w:color="auto" w:fill="008C9B" w:themeFill="accent1"/>
            <w:vAlign w:val="center"/>
            <w:hideMark/>
          </w:tcPr>
          <w:p w14:paraId="214CB86F" w14:textId="7E7033B4" w:rsidR="00BB4060" w:rsidRPr="008879A5" w:rsidRDefault="00BB4060" w:rsidP="00BB4060">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High</w:t>
            </w:r>
            <w:r w:rsidR="00930B09">
              <w:rPr>
                <w:rFonts w:eastAsia="Times New Roman" w:cs="Arial"/>
                <w:b/>
                <w:bCs/>
                <w:color w:val="FFFFFF"/>
                <w:sz w:val="20"/>
                <w:lang w:eastAsia="en-GB"/>
              </w:rPr>
              <w:t xml:space="preserve"> </w:t>
            </w:r>
            <w:r w:rsidRPr="008879A5">
              <w:rPr>
                <w:rFonts w:eastAsia="Times New Roman" w:cs="Arial"/>
                <w:b/>
                <w:bCs/>
                <w:color w:val="FFFFFF"/>
                <w:sz w:val="20"/>
                <w:lang w:eastAsia="en-GB"/>
              </w:rPr>
              <w:t>demand</w:t>
            </w:r>
          </w:p>
        </w:tc>
        <w:tc>
          <w:tcPr>
            <w:tcW w:w="2403" w:type="dxa"/>
            <w:gridSpan w:val="2"/>
            <w:tcBorders>
              <w:top w:val="single" w:sz="8" w:space="0" w:color="auto"/>
              <w:left w:val="nil"/>
              <w:bottom w:val="single" w:sz="8" w:space="0" w:color="auto"/>
              <w:right w:val="single" w:sz="8" w:space="0" w:color="000000"/>
            </w:tcBorders>
            <w:shd w:val="clear" w:color="auto" w:fill="008C9B" w:themeFill="accent1"/>
            <w:vAlign w:val="center"/>
            <w:hideMark/>
          </w:tcPr>
          <w:p w14:paraId="174C40AF" w14:textId="6C3912FF" w:rsidR="00BB4060" w:rsidRPr="008879A5" w:rsidRDefault="00BB4060" w:rsidP="00BB4060">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Low</w:t>
            </w:r>
            <w:r w:rsidR="00930B09">
              <w:rPr>
                <w:rFonts w:eastAsia="Times New Roman" w:cs="Arial"/>
                <w:b/>
                <w:bCs/>
                <w:color w:val="FFFFFF"/>
                <w:sz w:val="20"/>
                <w:lang w:eastAsia="en-GB"/>
              </w:rPr>
              <w:t xml:space="preserve"> </w:t>
            </w:r>
            <w:r w:rsidRPr="008879A5">
              <w:rPr>
                <w:rFonts w:eastAsia="Times New Roman" w:cs="Arial"/>
                <w:b/>
                <w:bCs/>
                <w:color w:val="FFFFFF"/>
                <w:sz w:val="20"/>
                <w:lang w:eastAsia="en-GB"/>
              </w:rPr>
              <w:t>demand</w:t>
            </w:r>
          </w:p>
        </w:tc>
      </w:tr>
      <w:tr w:rsidR="005B5899" w:rsidRPr="008879A5" w14:paraId="0C6EB195" w14:textId="77777777" w:rsidTr="00FC31B3">
        <w:trPr>
          <w:trHeight w:val="446"/>
          <w:jc w:val="center"/>
        </w:trPr>
        <w:tc>
          <w:tcPr>
            <w:tcW w:w="947" w:type="dxa"/>
            <w:tcBorders>
              <w:top w:val="nil"/>
              <w:left w:val="nil"/>
              <w:bottom w:val="nil"/>
              <w:right w:val="nil"/>
            </w:tcBorders>
            <w:noWrap/>
            <w:vAlign w:val="bottom"/>
            <w:hideMark/>
          </w:tcPr>
          <w:p w14:paraId="18B81848" w14:textId="77777777" w:rsidR="00BB4060" w:rsidRPr="008879A5" w:rsidRDefault="00BB4060" w:rsidP="00BB4060">
            <w:pPr>
              <w:spacing w:after="0"/>
              <w:jc w:val="center"/>
              <w:rPr>
                <w:rFonts w:eastAsia="Times New Roman" w:cs="Arial"/>
                <w:b/>
                <w:bCs/>
                <w:color w:val="FFFFFF"/>
                <w:sz w:val="20"/>
                <w:lang w:eastAsia="en-GB"/>
              </w:rPr>
            </w:pPr>
          </w:p>
        </w:tc>
        <w:tc>
          <w:tcPr>
            <w:tcW w:w="1201" w:type="dxa"/>
            <w:tcBorders>
              <w:top w:val="nil"/>
              <w:left w:val="single" w:sz="8" w:space="0" w:color="auto"/>
              <w:bottom w:val="single" w:sz="8" w:space="0" w:color="auto"/>
              <w:right w:val="single" w:sz="8" w:space="0" w:color="auto"/>
            </w:tcBorders>
            <w:shd w:val="clear" w:color="000000" w:fill="00464D"/>
            <w:vAlign w:val="center"/>
            <w:hideMark/>
          </w:tcPr>
          <w:p w14:paraId="69883BB3" w14:textId="77777777" w:rsidR="00BB4060" w:rsidRPr="008879A5" w:rsidRDefault="00BB4060" w:rsidP="00BB4060">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Labour Demand</w:t>
            </w:r>
          </w:p>
        </w:tc>
        <w:tc>
          <w:tcPr>
            <w:tcW w:w="1202" w:type="dxa"/>
            <w:tcBorders>
              <w:top w:val="nil"/>
              <w:left w:val="nil"/>
              <w:bottom w:val="single" w:sz="8" w:space="0" w:color="auto"/>
              <w:right w:val="single" w:sz="8" w:space="0" w:color="auto"/>
            </w:tcBorders>
            <w:shd w:val="clear" w:color="000000" w:fill="00464D"/>
            <w:vAlign w:val="center"/>
            <w:hideMark/>
          </w:tcPr>
          <w:p w14:paraId="2A672F0D" w14:textId="77777777" w:rsidR="00BB4060" w:rsidRPr="008879A5" w:rsidRDefault="00BB4060" w:rsidP="00BB4060">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Labour Supply</w:t>
            </w:r>
          </w:p>
        </w:tc>
        <w:tc>
          <w:tcPr>
            <w:tcW w:w="1201" w:type="dxa"/>
            <w:tcBorders>
              <w:top w:val="nil"/>
              <w:left w:val="nil"/>
              <w:bottom w:val="single" w:sz="8" w:space="0" w:color="auto"/>
              <w:right w:val="single" w:sz="8" w:space="0" w:color="auto"/>
            </w:tcBorders>
            <w:shd w:val="clear" w:color="000000" w:fill="00464D"/>
            <w:vAlign w:val="center"/>
            <w:hideMark/>
          </w:tcPr>
          <w:p w14:paraId="5384C436" w14:textId="77777777" w:rsidR="00BB4060" w:rsidRPr="008879A5" w:rsidRDefault="00BB4060" w:rsidP="00BB4060">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Labour Demand</w:t>
            </w:r>
          </w:p>
        </w:tc>
        <w:tc>
          <w:tcPr>
            <w:tcW w:w="1202" w:type="dxa"/>
            <w:tcBorders>
              <w:top w:val="nil"/>
              <w:left w:val="nil"/>
              <w:bottom w:val="single" w:sz="8" w:space="0" w:color="auto"/>
              <w:right w:val="single" w:sz="8" w:space="0" w:color="auto"/>
            </w:tcBorders>
            <w:shd w:val="clear" w:color="000000" w:fill="00464D"/>
            <w:vAlign w:val="center"/>
            <w:hideMark/>
          </w:tcPr>
          <w:p w14:paraId="27683831" w14:textId="77777777" w:rsidR="00BB4060" w:rsidRPr="008879A5" w:rsidRDefault="00BB4060" w:rsidP="00BB4060">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Labour Supply</w:t>
            </w:r>
          </w:p>
        </w:tc>
        <w:tc>
          <w:tcPr>
            <w:tcW w:w="1201" w:type="dxa"/>
            <w:tcBorders>
              <w:top w:val="nil"/>
              <w:left w:val="nil"/>
              <w:bottom w:val="single" w:sz="8" w:space="0" w:color="auto"/>
              <w:right w:val="single" w:sz="8" w:space="0" w:color="auto"/>
            </w:tcBorders>
            <w:shd w:val="clear" w:color="000000" w:fill="00464D"/>
            <w:vAlign w:val="center"/>
            <w:hideMark/>
          </w:tcPr>
          <w:p w14:paraId="64406AD8" w14:textId="77777777" w:rsidR="00BB4060" w:rsidRPr="008879A5" w:rsidRDefault="00BB4060" w:rsidP="00BB4060">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Labour Demand</w:t>
            </w:r>
          </w:p>
        </w:tc>
        <w:tc>
          <w:tcPr>
            <w:tcW w:w="1202" w:type="dxa"/>
            <w:tcBorders>
              <w:top w:val="nil"/>
              <w:left w:val="nil"/>
              <w:bottom w:val="single" w:sz="8" w:space="0" w:color="auto"/>
              <w:right w:val="single" w:sz="8" w:space="0" w:color="auto"/>
            </w:tcBorders>
            <w:shd w:val="clear" w:color="000000" w:fill="00464D"/>
            <w:vAlign w:val="center"/>
            <w:hideMark/>
          </w:tcPr>
          <w:p w14:paraId="164FBF68" w14:textId="77777777" w:rsidR="00BB4060" w:rsidRPr="008879A5" w:rsidRDefault="00BB4060" w:rsidP="00BB4060">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Labour Supply</w:t>
            </w:r>
          </w:p>
        </w:tc>
      </w:tr>
      <w:tr w:rsidR="00D75338" w:rsidRPr="008879A5" w14:paraId="31F8EF78" w14:textId="77777777" w:rsidTr="00FC31B3">
        <w:trPr>
          <w:trHeight w:val="267"/>
          <w:jc w:val="center"/>
        </w:trPr>
        <w:tc>
          <w:tcPr>
            <w:tcW w:w="947" w:type="dxa"/>
            <w:tcBorders>
              <w:top w:val="single" w:sz="8" w:space="0" w:color="auto"/>
              <w:left w:val="single" w:sz="8" w:space="0" w:color="auto"/>
              <w:bottom w:val="single" w:sz="8" w:space="0" w:color="auto"/>
              <w:right w:val="single" w:sz="8" w:space="0" w:color="auto"/>
            </w:tcBorders>
            <w:shd w:val="clear" w:color="000000" w:fill="00464D"/>
            <w:vAlign w:val="center"/>
            <w:hideMark/>
          </w:tcPr>
          <w:p w14:paraId="0D9F4878" w14:textId="77777777" w:rsidR="00D75338" w:rsidRPr="008879A5" w:rsidRDefault="00D75338" w:rsidP="00D75338">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2025/26</w:t>
            </w:r>
          </w:p>
        </w:tc>
        <w:tc>
          <w:tcPr>
            <w:tcW w:w="1201" w:type="dxa"/>
            <w:tcBorders>
              <w:top w:val="nil"/>
              <w:left w:val="nil"/>
              <w:bottom w:val="single" w:sz="8" w:space="0" w:color="auto"/>
              <w:right w:val="single" w:sz="8" w:space="0" w:color="auto"/>
            </w:tcBorders>
            <w:shd w:val="clear" w:color="000000" w:fill="FFFFFF"/>
            <w:vAlign w:val="center"/>
            <w:hideMark/>
          </w:tcPr>
          <w:p w14:paraId="32ABE4EF"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27,400</w:t>
            </w:r>
          </w:p>
        </w:tc>
        <w:tc>
          <w:tcPr>
            <w:tcW w:w="1202" w:type="dxa"/>
            <w:tcBorders>
              <w:top w:val="nil"/>
              <w:left w:val="nil"/>
              <w:bottom w:val="single" w:sz="8" w:space="0" w:color="auto"/>
              <w:right w:val="single" w:sz="8" w:space="0" w:color="auto"/>
            </w:tcBorders>
            <w:shd w:val="clear" w:color="000000" w:fill="FFFFFF"/>
            <w:vAlign w:val="center"/>
            <w:hideMark/>
          </w:tcPr>
          <w:p w14:paraId="077A674A"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23,900</w:t>
            </w:r>
          </w:p>
        </w:tc>
        <w:tc>
          <w:tcPr>
            <w:tcW w:w="1201" w:type="dxa"/>
            <w:tcBorders>
              <w:top w:val="nil"/>
              <w:left w:val="nil"/>
              <w:bottom w:val="single" w:sz="8" w:space="0" w:color="auto"/>
              <w:right w:val="single" w:sz="8" w:space="0" w:color="auto"/>
            </w:tcBorders>
            <w:shd w:val="clear" w:color="000000" w:fill="FFFFFF"/>
            <w:vAlign w:val="center"/>
            <w:hideMark/>
          </w:tcPr>
          <w:p w14:paraId="7DD939C7"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29,900</w:t>
            </w:r>
          </w:p>
        </w:tc>
        <w:tc>
          <w:tcPr>
            <w:tcW w:w="1202" w:type="dxa"/>
            <w:tcBorders>
              <w:top w:val="nil"/>
              <w:left w:val="nil"/>
              <w:bottom w:val="single" w:sz="8" w:space="0" w:color="auto"/>
              <w:right w:val="single" w:sz="8" w:space="0" w:color="auto"/>
            </w:tcBorders>
            <w:shd w:val="clear" w:color="000000" w:fill="FFFFFF"/>
            <w:vAlign w:val="center"/>
            <w:hideMark/>
          </w:tcPr>
          <w:p w14:paraId="118A7477"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23,900</w:t>
            </w:r>
          </w:p>
        </w:tc>
        <w:tc>
          <w:tcPr>
            <w:tcW w:w="1201" w:type="dxa"/>
            <w:tcBorders>
              <w:top w:val="nil"/>
              <w:left w:val="nil"/>
              <w:bottom w:val="single" w:sz="8" w:space="0" w:color="auto"/>
              <w:right w:val="single" w:sz="8" w:space="0" w:color="auto"/>
            </w:tcBorders>
            <w:shd w:val="clear" w:color="000000" w:fill="FFFFFF"/>
            <w:vAlign w:val="center"/>
            <w:hideMark/>
          </w:tcPr>
          <w:p w14:paraId="07A2C5BC" w14:textId="5816D00A" w:rsidR="00D75338" w:rsidRPr="008879A5" w:rsidRDefault="00D75338" w:rsidP="00D75338">
            <w:pPr>
              <w:spacing w:after="0"/>
              <w:jc w:val="center"/>
              <w:rPr>
                <w:rFonts w:eastAsia="Times New Roman" w:cs="Arial"/>
                <w:color w:val="000000"/>
                <w:sz w:val="20"/>
                <w:lang w:eastAsia="en-GB"/>
              </w:rPr>
            </w:pPr>
            <w:r>
              <w:rPr>
                <w:rFonts w:ascii="Arial" w:hAnsi="Arial" w:cs="Arial"/>
                <w:color w:val="000000"/>
                <w:sz w:val="20"/>
              </w:rPr>
              <w:t>24,500</w:t>
            </w:r>
          </w:p>
        </w:tc>
        <w:tc>
          <w:tcPr>
            <w:tcW w:w="1202" w:type="dxa"/>
            <w:tcBorders>
              <w:top w:val="nil"/>
              <w:left w:val="nil"/>
              <w:bottom w:val="single" w:sz="8" w:space="0" w:color="auto"/>
              <w:right w:val="single" w:sz="8" w:space="0" w:color="auto"/>
            </w:tcBorders>
            <w:shd w:val="clear" w:color="000000" w:fill="FFFFFF"/>
            <w:vAlign w:val="center"/>
            <w:hideMark/>
          </w:tcPr>
          <w:p w14:paraId="0A88823C"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23,900</w:t>
            </w:r>
          </w:p>
        </w:tc>
      </w:tr>
      <w:tr w:rsidR="00D75338" w:rsidRPr="008879A5" w14:paraId="7BC4EFFE"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3607A6DC" w14:textId="77777777" w:rsidR="00D75338" w:rsidRPr="008879A5" w:rsidRDefault="00D75338" w:rsidP="00D75338">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2026/27</w:t>
            </w:r>
          </w:p>
        </w:tc>
        <w:tc>
          <w:tcPr>
            <w:tcW w:w="1201" w:type="dxa"/>
            <w:tcBorders>
              <w:top w:val="nil"/>
              <w:left w:val="nil"/>
              <w:bottom w:val="single" w:sz="8" w:space="0" w:color="auto"/>
              <w:right w:val="single" w:sz="8" w:space="0" w:color="auto"/>
            </w:tcBorders>
            <w:shd w:val="clear" w:color="000000" w:fill="FFFFFF"/>
            <w:vAlign w:val="center"/>
            <w:hideMark/>
          </w:tcPr>
          <w:p w14:paraId="5E991EB6"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31,200</w:t>
            </w:r>
          </w:p>
        </w:tc>
        <w:tc>
          <w:tcPr>
            <w:tcW w:w="1202" w:type="dxa"/>
            <w:tcBorders>
              <w:top w:val="nil"/>
              <w:left w:val="nil"/>
              <w:bottom w:val="single" w:sz="8" w:space="0" w:color="auto"/>
              <w:right w:val="single" w:sz="8" w:space="0" w:color="auto"/>
            </w:tcBorders>
            <w:shd w:val="clear" w:color="000000" w:fill="FFFFFF"/>
            <w:vAlign w:val="center"/>
            <w:hideMark/>
          </w:tcPr>
          <w:p w14:paraId="333C0F53"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23,200</w:t>
            </w:r>
          </w:p>
        </w:tc>
        <w:tc>
          <w:tcPr>
            <w:tcW w:w="1201" w:type="dxa"/>
            <w:tcBorders>
              <w:top w:val="nil"/>
              <w:left w:val="nil"/>
              <w:bottom w:val="single" w:sz="8" w:space="0" w:color="auto"/>
              <w:right w:val="single" w:sz="8" w:space="0" w:color="auto"/>
            </w:tcBorders>
            <w:shd w:val="clear" w:color="000000" w:fill="FFFFFF"/>
            <w:vAlign w:val="center"/>
            <w:hideMark/>
          </w:tcPr>
          <w:p w14:paraId="2224A983"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34,200</w:t>
            </w:r>
          </w:p>
        </w:tc>
        <w:tc>
          <w:tcPr>
            <w:tcW w:w="1202" w:type="dxa"/>
            <w:tcBorders>
              <w:top w:val="nil"/>
              <w:left w:val="nil"/>
              <w:bottom w:val="single" w:sz="8" w:space="0" w:color="auto"/>
              <w:right w:val="single" w:sz="8" w:space="0" w:color="auto"/>
            </w:tcBorders>
            <w:shd w:val="clear" w:color="000000" w:fill="FFFFFF"/>
            <w:vAlign w:val="center"/>
            <w:hideMark/>
          </w:tcPr>
          <w:p w14:paraId="7387CF91"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23,200</w:t>
            </w:r>
          </w:p>
        </w:tc>
        <w:tc>
          <w:tcPr>
            <w:tcW w:w="1201" w:type="dxa"/>
            <w:tcBorders>
              <w:top w:val="nil"/>
              <w:left w:val="nil"/>
              <w:bottom w:val="single" w:sz="8" w:space="0" w:color="auto"/>
              <w:right w:val="single" w:sz="8" w:space="0" w:color="auto"/>
            </w:tcBorders>
            <w:shd w:val="clear" w:color="000000" w:fill="FFFFFF"/>
            <w:vAlign w:val="center"/>
            <w:hideMark/>
          </w:tcPr>
          <w:p w14:paraId="3C32EABB" w14:textId="457CD0AB" w:rsidR="00D75338" w:rsidRPr="008879A5" w:rsidRDefault="00D75338" w:rsidP="00D75338">
            <w:pPr>
              <w:spacing w:after="0"/>
              <w:jc w:val="center"/>
              <w:rPr>
                <w:rFonts w:eastAsia="Times New Roman" w:cs="Arial"/>
                <w:color w:val="000000"/>
                <w:sz w:val="20"/>
                <w:lang w:eastAsia="en-GB"/>
              </w:rPr>
            </w:pPr>
            <w:r>
              <w:rPr>
                <w:rFonts w:ascii="Arial" w:hAnsi="Arial" w:cs="Arial"/>
                <w:color w:val="000000"/>
                <w:sz w:val="20"/>
              </w:rPr>
              <w:t>24,200</w:t>
            </w:r>
          </w:p>
        </w:tc>
        <w:tc>
          <w:tcPr>
            <w:tcW w:w="1202" w:type="dxa"/>
            <w:tcBorders>
              <w:top w:val="nil"/>
              <w:left w:val="nil"/>
              <w:bottom w:val="single" w:sz="8" w:space="0" w:color="auto"/>
              <w:right w:val="single" w:sz="8" w:space="0" w:color="auto"/>
            </w:tcBorders>
            <w:shd w:val="clear" w:color="000000" w:fill="FFFFFF"/>
            <w:vAlign w:val="center"/>
            <w:hideMark/>
          </w:tcPr>
          <w:p w14:paraId="0863E7EC"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23,200</w:t>
            </w:r>
          </w:p>
        </w:tc>
      </w:tr>
      <w:tr w:rsidR="00D75338" w:rsidRPr="008879A5" w14:paraId="3AFD606F"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4D37EA5E" w14:textId="77777777" w:rsidR="00D75338" w:rsidRPr="008879A5" w:rsidRDefault="00D75338" w:rsidP="00D75338">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2027/28</w:t>
            </w:r>
          </w:p>
        </w:tc>
        <w:tc>
          <w:tcPr>
            <w:tcW w:w="1201" w:type="dxa"/>
            <w:tcBorders>
              <w:top w:val="nil"/>
              <w:left w:val="nil"/>
              <w:bottom w:val="single" w:sz="8" w:space="0" w:color="auto"/>
              <w:right w:val="single" w:sz="8" w:space="0" w:color="auto"/>
            </w:tcBorders>
            <w:shd w:val="clear" w:color="000000" w:fill="FFFFFF"/>
            <w:vAlign w:val="center"/>
            <w:hideMark/>
          </w:tcPr>
          <w:p w14:paraId="7527052B"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35,800</w:t>
            </w:r>
          </w:p>
        </w:tc>
        <w:tc>
          <w:tcPr>
            <w:tcW w:w="1202" w:type="dxa"/>
            <w:tcBorders>
              <w:top w:val="nil"/>
              <w:left w:val="nil"/>
              <w:bottom w:val="single" w:sz="8" w:space="0" w:color="auto"/>
              <w:right w:val="single" w:sz="8" w:space="0" w:color="auto"/>
            </w:tcBorders>
            <w:shd w:val="clear" w:color="000000" w:fill="FFFFFF"/>
            <w:vAlign w:val="center"/>
            <w:hideMark/>
          </w:tcPr>
          <w:p w14:paraId="74FE2779" w14:textId="42261165"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22,500</w:t>
            </w:r>
          </w:p>
        </w:tc>
        <w:tc>
          <w:tcPr>
            <w:tcW w:w="1201" w:type="dxa"/>
            <w:tcBorders>
              <w:top w:val="nil"/>
              <w:left w:val="nil"/>
              <w:bottom w:val="single" w:sz="8" w:space="0" w:color="auto"/>
              <w:right w:val="single" w:sz="8" w:space="0" w:color="auto"/>
            </w:tcBorders>
            <w:shd w:val="clear" w:color="000000" w:fill="FFFFFF"/>
            <w:vAlign w:val="center"/>
            <w:hideMark/>
          </w:tcPr>
          <w:p w14:paraId="553D39AD"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40,000</w:t>
            </w:r>
          </w:p>
        </w:tc>
        <w:tc>
          <w:tcPr>
            <w:tcW w:w="1202" w:type="dxa"/>
            <w:tcBorders>
              <w:top w:val="nil"/>
              <w:left w:val="nil"/>
              <w:bottom w:val="single" w:sz="8" w:space="0" w:color="auto"/>
              <w:right w:val="single" w:sz="8" w:space="0" w:color="auto"/>
            </w:tcBorders>
            <w:shd w:val="clear" w:color="000000" w:fill="FFFFFF"/>
            <w:vAlign w:val="center"/>
            <w:hideMark/>
          </w:tcPr>
          <w:p w14:paraId="28DA9145"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22,500</w:t>
            </w:r>
          </w:p>
        </w:tc>
        <w:tc>
          <w:tcPr>
            <w:tcW w:w="1201" w:type="dxa"/>
            <w:tcBorders>
              <w:top w:val="nil"/>
              <w:left w:val="nil"/>
              <w:bottom w:val="single" w:sz="8" w:space="0" w:color="auto"/>
              <w:right w:val="single" w:sz="8" w:space="0" w:color="auto"/>
            </w:tcBorders>
            <w:shd w:val="clear" w:color="000000" w:fill="FFFFFF"/>
            <w:vAlign w:val="center"/>
            <w:hideMark/>
          </w:tcPr>
          <w:p w14:paraId="6403BB5D" w14:textId="1186017E" w:rsidR="00D75338" w:rsidRPr="008879A5" w:rsidRDefault="00D75338" w:rsidP="00D75338">
            <w:pPr>
              <w:spacing w:after="0"/>
              <w:jc w:val="center"/>
              <w:rPr>
                <w:rFonts w:eastAsia="Times New Roman" w:cs="Arial"/>
                <w:color w:val="000000"/>
                <w:sz w:val="20"/>
                <w:lang w:eastAsia="en-GB"/>
              </w:rPr>
            </w:pPr>
            <w:r>
              <w:rPr>
                <w:rFonts w:ascii="Arial" w:hAnsi="Arial" w:cs="Arial"/>
                <w:color w:val="000000"/>
                <w:sz w:val="20"/>
              </w:rPr>
              <w:t>25,700</w:t>
            </w:r>
          </w:p>
        </w:tc>
        <w:tc>
          <w:tcPr>
            <w:tcW w:w="1202" w:type="dxa"/>
            <w:tcBorders>
              <w:top w:val="nil"/>
              <w:left w:val="nil"/>
              <w:bottom w:val="single" w:sz="8" w:space="0" w:color="auto"/>
              <w:right w:val="single" w:sz="8" w:space="0" w:color="auto"/>
            </w:tcBorders>
            <w:shd w:val="clear" w:color="000000" w:fill="FFFFFF"/>
            <w:vAlign w:val="center"/>
            <w:hideMark/>
          </w:tcPr>
          <w:p w14:paraId="7E37BA92"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22,500</w:t>
            </w:r>
          </w:p>
        </w:tc>
      </w:tr>
      <w:tr w:rsidR="00D75338" w:rsidRPr="008879A5" w14:paraId="10253F3D"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256963A8" w14:textId="77777777" w:rsidR="00D75338" w:rsidRPr="008879A5" w:rsidRDefault="00D75338" w:rsidP="00D75338">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2028/29</w:t>
            </w:r>
          </w:p>
        </w:tc>
        <w:tc>
          <w:tcPr>
            <w:tcW w:w="1201" w:type="dxa"/>
            <w:tcBorders>
              <w:top w:val="nil"/>
              <w:left w:val="nil"/>
              <w:bottom w:val="single" w:sz="8" w:space="0" w:color="auto"/>
              <w:right w:val="single" w:sz="8" w:space="0" w:color="auto"/>
            </w:tcBorders>
            <w:shd w:val="clear" w:color="000000" w:fill="FFFFFF"/>
            <w:vAlign w:val="center"/>
            <w:hideMark/>
          </w:tcPr>
          <w:p w14:paraId="5720FBFF"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41,300</w:t>
            </w:r>
          </w:p>
        </w:tc>
        <w:tc>
          <w:tcPr>
            <w:tcW w:w="1202" w:type="dxa"/>
            <w:tcBorders>
              <w:top w:val="nil"/>
              <w:left w:val="nil"/>
              <w:bottom w:val="single" w:sz="8" w:space="0" w:color="auto"/>
              <w:right w:val="single" w:sz="8" w:space="0" w:color="auto"/>
            </w:tcBorders>
            <w:shd w:val="clear" w:color="000000" w:fill="FFFFFF"/>
            <w:vAlign w:val="center"/>
            <w:hideMark/>
          </w:tcPr>
          <w:p w14:paraId="277048EB"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22,000</w:t>
            </w:r>
          </w:p>
        </w:tc>
        <w:tc>
          <w:tcPr>
            <w:tcW w:w="1201" w:type="dxa"/>
            <w:tcBorders>
              <w:top w:val="nil"/>
              <w:left w:val="nil"/>
              <w:bottom w:val="single" w:sz="8" w:space="0" w:color="auto"/>
              <w:right w:val="single" w:sz="8" w:space="0" w:color="auto"/>
            </w:tcBorders>
            <w:shd w:val="clear" w:color="000000" w:fill="FFFFFF"/>
            <w:vAlign w:val="center"/>
            <w:hideMark/>
          </w:tcPr>
          <w:p w14:paraId="19AA2CB3"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47,500</w:t>
            </w:r>
          </w:p>
        </w:tc>
        <w:tc>
          <w:tcPr>
            <w:tcW w:w="1202" w:type="dxa"/>
            <w:tcBorders>
              <w:top w:val="nil"/>
              <w:left w:val="nil"/>
              <w:bottom w:val="single" w:sz="8" w:space="0" w:color="auto"/>
              <w:right w:val="single" w:sz="8" w:space="0" w:color="auto"/>
            </w:tcBorders>
            <w:shd w:val="clear" w:color="000000" w:fill="FFFFFF"/>
            <w:vAlign w:val="center"/>
            <w:hideMark/>
          </w:tcPr>
          <w:p w14:paraId="308193E3"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22,000</w:t>
            </w:r>
          </w:p>
        </w:tc>
        <w:tc>
          <w:tcPr>
            <w:tcW w:w="1201" w:type="dxa"/>
            <w:tcBorders>
              <w:top w:val="nil"/>
              <w:left w:val="nil"/>
              <w:bottom w:val="single" w:sz="8" w:space="0" w:color="auto"/>
              <w:right w:val="single" w:sz="8" w:space="0" w:color="auto"/>
            </w:tcBorders>
            <w:shd w:val="clear" w:color="000000" w:fill="FFFFFF"/>
            <w:vAlign w:val="center"/>
            <w:hideMark/>
          </w:tcPr>
          <w:p w14:paraId="76134287" w14:textId="168D0852" w:rsidR="00D75338" w:rsidRPr="008879A5" w:rsidRDefault="00D75338" w:rsidP="00D75338">
            <w:pPr>
              <w:spacing w:after="0"/>
              <w:jc w:val="center"/>
              <w:rPr>
                <w:rFonts w:eastAsia="Times New Roman" w:cs="Arial"/>
                <w:color w:val="000000"/>
                <w:sz w:val="20"/>
                <w:lang w:eastAsia="en-GB"/>
              </w:rPr>
            </w:pPr>
            <w:r>
              <w:rPr>
                <w:rFonts w:ascii="Arial" w:hAnsi="Arial" w:cs="Arial"/>
                <w:color w:val="000000"/>
                <w:sz w:val="20"/>
              </w:rPr>
              <w:t>27,100</w:t>
            </w:r>
          </w:p>
        </w:tc>
        <w:tc>
          <w:tcPr>
            <w:tcW w:w="1202" w:type="dxa"/>
            <w:tcBorders>
              <w:top w:val="nil"/>
              <w:left w:val="nil"/>
              <w:bottom w:val="single" w:sz="8" w:space="0" w:color="auto"/>
              <w:right w:val="single" w:sz="8" w:space="0" w:color="auto"/>
            </w:tcBorders>
            <w:shd w:val="clear" w:color="000000" w:fill="FFFFFF"/>
            <w:vAlign w:val="center"/>
            <w:hideMark/>
          </w:tcPr>
          <w:p w14:paraId="5BEC37CB"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22,000</w:t>
            </w:r>
          </w:p>
        </w:tc>
      </w:tr>
      <w:tr w:rsidR="00D75338" w:rsidRPr="008879A5" w14:paraId="33FB0D62"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7FF7CE7D" w14:textId="77777777" w:rsidR="00D75338" w:rsidRPr="008879A5" w:rsidRDefault="00D75338" w:rsidP="00D75338">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2029/30</w:t>
            </w:r>
          </w:p>
        </w:tc>
        <w:tc>
          <w:tcPr>
            <w:tcW w:w="1201" w:type="dxa"/>
            <w:tcBorders>
              <w:top w:val="nil"/>
              <w:left w:val="nil"/>
              <w:bottom w:val="single" w:sz="8" w:space="0" w:color="auto"/>
              <w:right w:val="single" w:sz="8" w:space="0" w:color="auto"/>
            </w:tcBorders>
            <w:shd w:val="clear" w:color="000000" w:fill="FFFFFF"/>
            <w:vAlign w:val="center"/>
            <w:hideMark/>
          </w:tcPr>
          <w:p w14:paraId="60B98E9D"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48,900</w:t>
            </w:r>
          </w:p>
        </w:tc>
        <w:tc>
          <w:tcPr>
            <w:tcW w:w="1202" w:type="dxa"/>
            <w:tcBorders>
              <w:top w:val="nil"/>
              <w:left w:val="nil"/>
              <w:bottom w:val="single" w:sz="8" w:space="0" w:color="auto"/>
              <w:right w:val="single" w:sz="8" w:space="0" w:color="auto"/>
            </w:tcBorders>
            <w:shd w:val="clear" w:color="000000" w:fill="FFFFFF"/>
            <w:vAlign w:val="center"/>
            <w:hideMark/>
          </w:tcPr>
          <w:p w14:paraId="49A10AF4"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21,500</w:t>
            </w:r>
          </w:p>
        </w:tc>
        <w:tc>
          <w:tcPr>
            <w:tcW w:w="1201" w:type="dxa"/>
            <w:tcBorders>
              <w:top w:val="nil"/>
              <w:left w:val="nil"/>
              <w:bottom w:val="single" w:sz="8" w:space="0" w:color="auto"/>
              <w:right w:val="single" w:sz="8" w:space="0" w:color="auto"/>
            </w:tcBorders>
            <w:shd w:val="clear" w:color="000000" w:fill="FFFFFF"/>
            <w:vAlign w:val="center"/>
            <w:hideMark/>
          </w:tcPr>
          <w:p w14:paraId="422E1E63"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56,900</w:t>
            </w:r>
          </w:p>
        </w:tc>
        <w:tc>
          <w:tcPr>
            <w:tcW w:w="1202" w:type="dxa"/>
            <w:tcBorders>
              <w:top w:val="nil"/>
              <w:left w:val="nil"/>
              <w:bottom w:val="single" w:sz="8" w:space="0" w:color="auto"/>
              <w:right w:val="single" w:sz="8" w:space="0" w:color="auto"/>
            </w:tcBorders>
            <w:shd w:val="clear" w:color="000000" w:fill="FFFFFF"/>
            <w:vAlign w:val="center"/>
            <w:hideMark/>
          </w:tcPr>
          <w:p w14:paraId="7E509D71"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21,500</w:t>
            </w:r>
          </w:p>
        </w:tc>
        <w:tc>
          <w:tcPr>
            <w:tcW w:w="1201" w:type="dxa"/>
            <w:tcBorders>
              <w:top w:val="nil"/>
              <w:left w:val="nil"/>
              <w:bottom w:val="single" w:sz="8" w:space="0" w:color="auto"/>
              <w:right w:val="single" w:sz="8" w:space="0" w:color="auto"/>
            </w:tcBorders>
            <w:shd w:val="clear" w:color="000000" w:fill="FFFFFF"/>
            <w:vAlign w:val="center"/>
            <w:hideMark/>
          </w:tcPr>
          <w:p w14:paraId="75B50450" w14:textId="7564A779" w:rsidR="00D75338" w:rsidRPr="008879A5" w:rsidRDefault="00D75338" w:rsidP="00D75338">
            <w:pPr>
              <w:spacing w:after="0"/>
              <w:jc w:val="center"/>
              <w:rPr>
                <w:rFonts w:eastAsia="Times New Roman" w:cs="Arial"/>
                <w:color w:val="000000"/>
                <w:sz w:val="20"/>
                <w:lang w:eastAsia="en-GB"/>
              </w:rPr>
            </w:pPr>
            <w:r>
              <w:rPr>
                <w:rFonts w:ascii="Arial" w:hAnsi="Arial" w:cs="Arial"/>
                <w:color w:val="000000"/>
                <w:sz w:val="20"/>
              </w:rPr>
              <w:t>28,100</w:t>
            </w:r>
          </w:p>
        </w:tc>
        <w:tc>
          <w:tcPr>
            <w:tcW w:w="1202" w:type="dxa"/>
            <w:tcBorders>
              <w:top w:val="nil"/>
              <w:left w:val="nil"/>
              <w:bottom w:val="single" w:sz="8" w:space="0" w:color="auto"/>
              <w:right w:val="single" w:sz="8" w:space="0" w:color="auto"/>
            </w:tcBorders>
            <w:shd w:val="clear" w:color="000000" w:fill="FFFFFF"/>
            <w:vAlign w:val="center"/>
            <w:hideMark/>
          </w:tcPr>
          <w:p w14:paraId="3C737277"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21,500</w:t>
            </w:r>
          </w:p>
        </w:tc>
      </w:tr>
      <w:tr w:rsidR="00D75338" w:rsidRPr="008879A5" w14:paraId="08C2B049"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413D2D63" w14:textId="77777777" w:rsidR="00D75338" w:rsidRPr="008879A5" w:rsidRDefault="00D75338" w:rsidP="00D75338">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2030/31</w:t>
            </w:r>
          </w:p>
        </w:tc>
        <w:tc>
          <w:tcPr>
            <w:tcW w:w="1201" w:type="dxa"/>
            <w:tcBorders>
              <w:top w:val="nil"/>
              <w:left w:val="nil"/>
              <w:bottom w:val="single" w:sz="8" w:space="0" w:color="auto"/>
              <w:right w:val="single" w:sz="8" w:space="0" w:color="auto"/>
            </w:tcBorders>
            <w:shd w:val="clear" w:color="000000" w:fill="FFFFFF"/>
            <w:vAlign w:val="center"/>
            <w:hideMark/>
          </w:tcPr>
          <w:p w14:paraId="6302FF10"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58,900</w:t>
            </w:r>
          </w:p>
        </w:tc>
        <w:tc>
          <w:tcPr>
            <w:tcW w:w="1202" w:type="dxa"/>
            <w:tcBorders>
              <w:top w:val="nil"/>
              <w:left w:val="nil"/>
              <w:bottom w:val="single" w:sz="8" w:space="0" w:color="auto"/>
              <w:right w:val="single" w:sz="8" w:space="0" w:color="auto"/>
            </w:tcBorders>
            <w:shd w:val="clear" w:color="000000" w:fill="FFFFFF"/>
            <w:vAlign w:val="center"/>
            <w:hideMark/>
          </w:tcPr>
          <w:p w14:paraId="04FFE953"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20,900</w:t>
            </w:r>
          </w:p>
        </w:tc>
        <w:tc>
          <w:tcPr>
            <w:tcW w:w="1201" w:type="dxa"/>
            <w:tcBorders>
              <w:top w:val="nil"/>
              <w:left w:val="nil"/>
              <w:bottom w:val="single" w:sz="8" w:space="0" w:color="auto"/>
              <w:right w:val="single" w:sz="8" w:space="0" w:color="auto"/>
            </w:tcBorders>
            <w:shd w:val="clear" w:color="000000" w:fill="FFFFFF"/>
            <w:vAlign w:val="center"/>
            <w:hideMark/>
          </w:tcPr>
          <w:p w14:paraId="68A6C6D4"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67,700</w:t>
            </w:r>
          </w:p>
        </w:tc>
        <w:tc>
          <w:tcPr>
            <w:tcW w:w="1202" w:type="dxa"/>
            <w:tcBorders>
              <w:top w:val="nil"/>
              <w:left w:val="nil"/>
              <w:bottom w:val="single" w:sz="8" w:space="0" w:color="auto"/>
              <w:right w:val="single" w:sz="8" w:space="0" w:color="auto"/>
            </w:tcBorders>
            <w:shd w:val="clear" w:color="000000" w:fill="FFFFFF"/>
            <w:vAlign w:val="center"/>
            <w:hideMark/>
          </w:tcPr>
          <w:p w14:paraId="61269D43"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20,900</w:t>
            </w:r>
          </w:p>
        </w:tc>
        <w:tc>
          <w:tcPr>
            <w:tcW w:w="1201" w:type="dxa"/>
            <w:tcBorders>
              <w:top w:val="nil"/>
              <w:left w:val="nil"/>
              <w:bottom w:val="single" w:sz="8" w:space="0" w:color="auto"/>
              <w:right w:val="single" w:sz="8" w:space="0" w:color="auto"/>
            </w:tcBorders>
            <w:shd w:val="clear" w:color="000000" w:fill="FFFFFF"/>
            <w:vAlign w:val="center"/>
            <w:hideMark/>
          </w:tcPr>
          <w:p w14:paraId="216C02E9" w14:textId="295BA8A9" w:rsidR="00D75338" w:rsidRPr="008879A5" w:rsidRDefault="00D75338" w:rsidP="00D75338">
            <w:pPr>
              <w:spacing w:after="0"/>
              <w:jc w:val="center"/>
              <w:rPr>
                <w:rFonts w:eastAsia="Times New Roman" w:cs="Arial"/>
                <w:color w:val="000000"/>
                <w:sz w:val="20"/>
                <w:lang w:eastAsia="en-GB"/>
              </w:rPr>
            </w:pPr>
            <w:r>
              <w:rPr>
                <w:rFonts w:ascii="Arial" w:hAnsi="Arial" w:cs="Arial"/>
                <w:color w:val="000000"/>
                <w:sz w:val="20"/>
              </w:rPr>
              <w:t>28,400</w:t>
            </w:r>
          </w:p>
        </w:tc>
        <w:tc>
          <w:tcPr>
            <w:tcW w:w="1202" w:type="dxa"/>
            <w:tcBorders>
              <w:top w:val="nil"/>
              <w:left w:val="nil"/>
              <w:bottom w:val="single" w:sz="8" w:space="0" w:color="auto"/>
              <w:right w:val="single" w:sz="8" w:space="0" w:color="auto"/>
            </w:tcBorders>
            <w:shd w:val="clear" w:color="000000" w:fill="FFFFFF"/>
            <w:vAlign w:val="center"/>
            <w:hideMark/>
          </w:tcPr>
          <w:p w14:paraId="47B869E1"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20,900</w:t>
            </w:r>
          </w:p>
        </w:tc>
      </w:tr>
      <w:tr w:rsidR="00D75338" w:rsidRPr="008879A5" w14:paraId="1317CA95"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2FF1A84D" w14:textId="77777777" w:rsidR="00D75338" w:rsidRPr="008879A5" w:rsidRDefault="00D75338" w:rsidP="00D75338">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2031/32</w:t>
            </w:r>
          </w:p>
        </w:tc>
        <w:tc>
          <w:tcPr>
            <w:tcW w:w="1201" w:type="dxa"/>
            <w:tcBorders>
              <w:top w:val="nil"/>
              <w:left w:val="nil"/>
              <w:bottom w:val="single" w:sz="8" w:space="0" w:color="auto"/>
              <w:right w:val="single" w:sz="8" w:space="0" w:color="auto"/>
            </w:tcBorders>
            <w:shd w:val="clear" w:color="000000" w:fill="FFFFFF"/>
            <w:vAlign w:val="center"/>
            <w:hideMark/>
          </w:tcPr>
          <w:p w14:paraId="64D26C42"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74,000</w:t>
            </w:r>
          </w:p>
        </w:tc>
        <w:tc>
          <w:tcPr>
            <w:tcW w:w="1202" w:type="dxa"/>
            <w:tcBorders>
              <w:top w:val="nil"/>
              <w:left w:val="nil"/>
              <w:bottom w:val="single" w:sz="8" w:space="0" w:color="auto"/>
              <w:right w:val="single" w:sz="8" w:space="0" w:color="auto"/>
            </w:tcBorders>
            <w:shd w:val="clear" w:color="000000" w:fill="FFFFFF"/>
            <w:vAlign w:val="center"/>
            <w:hideMark/>
          </w:tcPr>
          <w:p w14:paraId="77901B75"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20,400</w:t>
            </w:r>
          </w:p>
        </w:tc>
        <w:tc>
          <w:tcPr>
            <w:tcW w:w="1201" w:type="dxa"/>
            <w:tcBorders>
              <w:top w:val="nil"/>
              <w:left w:val="nil"/>
              <w:bottom w:val="single" w:sz="8" w:space="0" w:color="auto"/>
              <w:right w:val="single" w:sz="8" w:space="0" w:color="auto"/>
            </w:tcBorders>
            <w:shd w:val="clear" w:color="000000" w:fill="FFFFFF"/>
            <w:vAlign w:val="center"/>
            <w:hideMark/>
          </w:tcPr>
          <w:p w14:paraId="6E7A3E87"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78,900</w:t>
            </w:r>
          </w:p>
        </w:tc>
        <w:tc>
          <w:tcPr>
            <w:tcW w:w="1202" w:type="dxa"/>
            <w:tcBorders>
              <w:top w:val="nil"/>
              <w:left w:val="nil"/>
              <w:bottom w:val="single" w:sz="8" w:space="0" w:color="auto"/>
              <w:right w:val="single" w:sz="8" w:space="0" w:color="auto"/>
            </w:tcBorders>
            <w:shd w:val="clear" w:color="000000" w:fill="FFFFFF"/>
            <w:vAlign w:val="center"/>
            <w:hideMark/>
          </w:tcPr>
          <w:p w14:paraId="62BDB7F4"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20,400</w:t>
            </w:r>
          </w:p>
        </w:tc>
        <w:tc>
          <w:tcPr>
            <w:tcW w:w="1201" w:type="dxa"/>
            <w:tcBorders>
              <w:top w:val="nil"/>
              <w:left w:val="nil"/>
              <w:bottom w:val="single" w:sz="8" w:space="0" w:color="auto"/>
              <w:right w:val="single" w:sz="8" w:space="0" w:color="auto"/>
            </w:tcBorders>
            <w:shd w:val="clear" w:color="000000" w:fill="FFFFFF"/>
            <w:vAlign w:val="center"/>
            <w:hideMark/>
          </w:tcPr>
          <w:p w14:paraId="2346EFAC" w14:textId="1B009A3E" w:rsidR="00D75338" w:rsidRPr="008879A5" w:rsidRDefault="00D75338" w:rsidP="00D75338">
            <w:pPr>
              <w:spacing w:after="0"/>
              <w:jc w:val="center"/>
              <w:rPr>
                <w:rFonts w:eastAsia="Times New Roman" w:cs="Arial"/>
                <w:color w:val="000000"/>
                <w:sz w:val="20"/>
                <w:lang w:eastAsia="en-GB"/>
              </w:rPr>
            </w:pPr>
            <w:r>
              <w:rPr>
                <w:rFonts w:ascii="Arial" w:hAnsi="Arial" w:cs="Arial"/>
                <w:color w:val="000000"/>
                <w:sz w:val="20"/>
              </w:rPr>
              <w:t>27,700</w:t>
            </w:r>
          </w:p>
        </w:tc>
        <w:tc>
          <w:tcPr>
            <w:tcW w:w="1202" w:type="dxa"/>
            <w:tcBorders>
              <w:top w:val="nil"/>
              <w:left w:val="nil"/>
              <w:bottom w:val="single" w:sz="8" w:space="0" w:color="auto"/>
              <w:right w:val="single" w:sz="8" w:space="0" w:color="auto"/>
            </w:tcBorders>
            <w:shd w:val="clear" w:color="000000" w:fill="FFFFFF"/>
            <w:vAlign w:val="center"/>
            <w:hideMark/>
          </w:tcPr>
          <w:p w14:paraId="73655FC4"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20,400</w:t>
            </w:r>
          </w:p>
        </w:tc>
      </w:tr>
      <w:tr w:rsidR="00D75338" w:rsidRPr="008879A5" w14:paraId="738DD848"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12C36AA8" w14:textId="77777777" w:rsidR="00D75338" w:rsidRPr="008879A5" w:rsidRDefault="00D75338" w:rsidP="00D75338">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2032/33</w:t>
            </w:r>
          </w:p>
        </w:tc>
        <w:tc>
          <w:tcPr>
            <w:tcW w:w="1201" w:type="dxa"/>
            <w:tcBorders>
              <w:top w:val="nil"/>
              <w:left w:val="nil"/>
              <w:bottom w:val="single" w:sz="8" w:space="0" w:color="auto"/>
              <w:right w:val="single" w:sz="8" w:space="0" w:color="auto"/>
            </w:tcBorders>
            <w:shd w:val="clear" w:color="000000" w:fill="FFFFFF"/>
            <w:vAlign w:val="center"/>
            <w:hideMark/>
          </w:tcPr>
          <w:p w14:paraId="6DDF6F2B"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78,200</w:t>
            </w:r>
          </w:p>
        </w:tc>
        <w:tc>
          <w:tcPr>
            <w:tcW w:w="1202" w:type="dxa"/>
            <w:tcBorders>
              <w:top w:val="nil"/>
              <w:left w:val="nil"/>
              <w:bottom w:val="single" w:sz="8" w:space="0" w:color="auto"/>
              <w:right w:val="single" w:sz="8" w:space="0" w:color="auto"/>
            </w:tcBorders>
            <w:shd w:val="clear" w:color="000000" w:fill="FFFFFF"/>
            <w:vAlign w:val="center"/>
            <w:hideMark/>
          </w:tcPr>
          <w:p w14:paraId="2FB8B10B" w14:textId="4E157641"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19,900</w:t>
            </w:r>
          </w:p>
        </w:tc>
        <w:tc>
          <w:tcPr>
            <w:tcW w:w="1201" w:type="dxa"/>
            <w:tcBorders>
              <w:top w:val="nil"/>
              <w:left w:val="nil"/>
              <w:bottom w:val="single" w:sz="8" w:space="0" w:color="auto"/>
              <w:right w:val="single" w:sz="8" w:space="0" w:color="auto"/>
            </w:tcBorders>
            <w:shd w:val="clear" w:color="000000" w:fill="FFFFFF"/>
            <w:vAlign w:val="center"/>
            <w:hideMark/>
          </w:tcPr>
          <w:p w14:paraId="5B6CC68A"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88,300</w:t>
            </w:r>
          </w:p>
        </w:tc>
        <w:tc>
          <w:tcPr>
            <w:tcW w:w="1202" w:type="dxa"/>
            <w:tcBorders>
              <w:top w:val="nil"/>
              <w:left w:val="nil"/>
              <w:bottom w:val="single" w:sz="8" w:space="0" w:color="auto"/>
              <w:right w:val="single" w:sz="8" w:space="0" w:color="auto"/>
            </w:tcBorders>
            <w:shd w:val="clear" w:color="000000" w:fill="FFFFFF"/>
            <w:vAlign w:val="center"/>
            <w:hideMark/>
          </w:tcPr>
          <w:p w14:paraId="77098A46"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19,900</w:t>
            </w:r>
          </w:p>
        </w:tc>
        <w:tc>
          <w:tcPr>
            <w:tcW w:w="1201" w:type="dxa"/>
            <w:tcBorders>
              <w:top w:val="nil"/>
              <w:left w:val="nil"/>
              <w:bottom w:val="single" w:sz="8" w:space="0" w:color="auto"/>
              <w:right w:val="single" w:sz="8" w:space="0" w:color="auto"/>
            </w:tcBorders>
            <w:shd w:val="clear" w:color="000000" w:fill="FFFFFF"/>
            <w:vAlign w:val="center"/>
            <w:hideMark/>
          </w:tcPr>
          <w:p w14:paraId="440AA015" w14:textId="44D9F447" w:rsidR="00D75338" w:rsidRPr="008879A5" w:rsidRDefault="00D75338" w:rsidP="00D75338">
            <w:pPr>
              <w:spacing w:after="0"/>
              <w:jc w:val="center"/>
              <w:rPr>
                <w:rFonts w:eastAsia="Times New Roman" w:cs="Arial"/>
                <w:color w:val="000000"/>
                <w:sz w:val="20"/>
                <w:lang w:eastAsia="en-GB"/>
              </w:rPr>
            </w:pPr>
            <w:r>
              <w:rPr>
                <w:rFonts w:ascii="Arial" w:hAnsi="Arial" w:cs="Arial"/>
                <w:color w:val="000000"/>
                <w:sz w:val="20"/>
              </w:rPr>
              <w:t>26,100</w:t>
            </w:r>
          </w:p>
        </w:tc>
        <w:tc>
          <w:tcPr>
            <w:tcW w:w="1202" w:type="dxa"/>
            <w:tcBorders>
              <w:top w:val="nil"/>
              <w:left w:val="nil"/>
              <w:bottom w:val="single" w:sz="8" w:space="0" w:color="auto"/>
              <w:right w:val="single" w:sz="8" w:space="0" w:color="auto"/>
            </w:tcBorders>
            <w:shd w:val="clear" w:color="000000" w:fill="FFFFFF"/>
            <w:vAlign w:val="center"/>
            <w:hideMark/>
          </w:tcPr>
          <w:p w14:paraId="66AC1AD2"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19,900</w:t>
            </w:r>
          </w:p>
        </w:tc>
      </w:tr>
      <w:tr w:rsidR="00D75338" w:rsidRPr="008879A5" w14:paraId="7ADA2CF2"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23AF34E0" w14:textId="77777777" w:rsidR="00D75338" w:rsidRPr="008879A5" w:rsidRDefault="00D75338" w:rsidP="00D75338">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2033/34</w:t>
            </w:r>
          </w:p>
        </w:tc>
        <w:tc>
          <w:tcPr>
            <w:tcW w:w="1201" w:type="dxa"/>
            <w:tcBorders>
              <w:top w:val="nil"/>
              <w:left w:val="nil"/>
              <w:bottom w:val="single" w:sz="8" w:space="0" w:color="auto"/>
              <w:right w:val="single" w:sz="8" w:space="0" w:color="auto"/>
            </w:tcBorders>
            <w:shd w:val="clear" w:color="000000" w:fill="FFFFFF"/>
            <w:vAlign w:val="center"/>
            <w:hideMark/>
          </w:tcPr>
          <w:p w14:paraId="138C2C73"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76,000</w:t>
            </w:r>
          </w:p>
        </w:tc>
        <w:tc>
          <w:tcPr>
            <w:tcW w:w="1202" w:type="dxa"/>
            <w:tcBorders>
              <w:top w:val="nil"/>
              <w:left w:val="nil"/>
              <w:bottom w:val="single" w:sz="8" w:space="0" w:color="auto"/>
              <w:right w:val="single" w:sz="8" w:space="0" w:color="auto"/>
            </w:tcBorders>
            <w:shd w:val="clear" w:color="000000" w:fill="FFFFFF"/>
            <w:vAlign w:val="center"/>
            <w:hideMark/>
          </w:tcPr>
          <w:p w14:paraId="0391FEAA"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19,500</w:t>
            </w:r>
          </w:p>
        </w:tc>
        <w:tc>
          <w:tcPr>
            <w:tcW w:w="1201" w:type="dxa"/>
            <w:tcBorders>
              <w:top w:val="nil"/>
              <w:left w:val="nil"/>
              <w:bottom w:val="single" w:sz="8" w:space="0" w:color="auto"/>
              <w:right w:val="single" w:sz="8" w:space="0" w:color="auto"/>
            </w:tcBorders>
            <w:shd w:val="clear" w:color="000000" w:fill="FFFFFF"/>
            <w:vAlign w:val="center"/>
            <w:hideMark/>
          </w:tcPr>
          <w:p w14:paraId="12E36CCB"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93,800</w:t>
            </w:r>
          </w:p>
        </w:tc>
        <w:tc>
          <w:tcPr>
            <w:tcW w:w="1202" w:type="dxa"/>
            <w:tcBorders>
              <w:top w:val="nil"/>
              <w:left w:val="nil"/>
              <w:bottom w:val="single" w:sz="8" w:space="0" w:color="auto"/>
              <w:right w:val="single" w:sz="8" w:space="0" w:color="auto"/>
            </w:tcBorders>
            <w:shd w:val="clear" w:color="000000" w:fill="FFFFFF"/>
            <w:vAlign w:val="center"/>
            <w:hideMark/>
          </w:tcPr>
          <w:p w14:paraId="39D16197"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19,500</w:t>
            </w:r>
          </w:p>
        </w:tc>
        <w:tc>
          <w:tcPr>
            <w:tcW w:w="1201" w:type="dxa"/>
            <w:tcBorders>
              <w:top w:val="nil"/>
              <w:left w:val="nil"/>
              <w:bottom w:val="single" w:sz="8" w:space="0" w:color="auto"/>
              <w:right w:val="single" w:sz="8" w:space="0" w:color="auto"/>
            </w:tcBorders>
            <w:shd w:val="clear" w:color="000000" w:fill="FFFFFF"/>
            <w:vAlign w:val="center"/>
            <w:hideMark/>
          </w:tcPr>
          <w:p w14:paraId="3099C063" w14:textId="7520EE3B" w:rsidR="00D75338" w:rsidRPr="008879A5" w:rsidRDefault="00D75338" w:rsidP="00D75338">
            <w:pPr>
              <w:spacing w:after="0"/>
              <w:jc w:val="center"/>
              <w:rPr>
                <w:rFonts w:eastAsia="Times New Roman" w:cs="Arial"/>
                <w:color w:val="000000"/>
                <w:sz w:val="20"/>
                <w:lang w:eastAsia="en-GB"/>
              </w:rPr>
            </w:pPr>
            <w:r>
              <w:rPr>
                <w:rFonts w:ascii="Arial" w:hAnsi="Arial" w:cs="Arial"/>
                <w:color w:val="000000"/>
                <w:sz w:val="20"/>
              </w:rPr>
              <w:t>23,900</w:t>
            </w:r>
          </w:p>
        </w:tc>
        <w:tc>
          <w:tcPr>
            <w:tcW w:w="1202" w:type="dxa"/>
            <w:tcBorders>
              <w:top w:val="nil"/>
              <w:left w:val="nil"/>
              <w:bottom w:val="single" w:sz="8" w:space="0" w:color="auto"/>
              <w:right w:val="single" w:sz="8" w:space="0" w:color="auto"/>
            </w:tcBorders>
            <w:shd w:val="clear" w:color="000000" w:fill="FFFFFF"/>
            <w:vAlign w:val="center"/>
            <w:hideMark/>
          </w:tcPr>
          <w:p w14:paraId="15766A56"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19,500</w:t>
            </w:r>
          </w:p>
        </w:tc>
      </w:tr>
      <w:tr w:rsidR="00D75338" w:rsidRPr="008879A5" w14:paraId="4801ED8E" w14:textId="77777777" w:rsidTr="00FC31B3">
        <w:trPr>
          <w:trHeight w:val="267"/>
          <w:jc w:val="center"/>
        </w:trPr>
        <w:tc>
          <w:tcPr>
            <w:tcW w:w="947" w:type="dxa"/>
            <w:tcBorders>
              <w:top w:val="nil"/>
              <w:left w:val="single" w:sz="8" w:space="0" w:color="auto"/>
              <w:bottom w:val="single" w:sz="8" w:space="0" w:color="auto"/>
              <w:right w:val="single" w:sz="8" w:space="0" w:color="auto"/>
            </w:tcBorders>
            <w:shd w:val="clear" w:color="000000" w:fill="00464D"/>
            <w:vAlign w:val="center"/>
            <w:hideMark/>
          </w:tcPr>
          <w:p w14:paraId="1EFB399A" w14:textId="77777777" w:rsidR="00D75338" w:rsidRPr="008879A5" w:rsidRDefault="00D75338" w:rsidP="00D75338">
            <w:pPr>
              <w:spacing w:after="0"/>
              <w:jc w:val="center"/>
              <w:rPr>
                <w:rFonts w:eastAsia="Times New Roman" w:cs="Arial"/>
                <w:b/>
                <w:bCs/>
                <w:color w:val="FFFFFF"/>
                <w:sz w:val="20"/>
                <w:lang w:eastAsia="en-GB"/>
              </w:rPr>
            </w:pPr>
            <w:r w:rsidRPr="008879A5">
              <w:rPr>
                <w:rFonts w:eastAsia="Times New Roman" w:cs="Arial"/>
                <w:b/>
                <w:bCs/>
                <w:color w:val="FFFFFF"/>
                <w:sz w:val="20"/>
                <w:lang w:eastAsia="en-GB"/>
              </w:rPr>
              <w:t>2034/35</w:t>
            </w:r>
          </w:p>
        </w:tc>
        <w:tc>
          <w:tcPr>
            <w:tcW w:w="1201" w:type="dxa"/>
            <w:tcBorders>
              <w:top w:val="nil"/>
              <w:left w:val="nil"/>
              <w:bottom w:val="single" w:sz="8" w:space="0" w:color="auto"/>
              <w:right w:val="single" w:sz="8" w:space="0" w:color="auto"/>
            </w:tcBorders>
            <w:shd w:val="clear" w:color="000000" w:fill="FFFFFF"/>
            <w:vAlign w:val="center"/>
            <w:hideMark/>
          </w:tcPr>
          <w:p w14:paraId="26DD7BD3"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76,500</w:t>
            </w:r>
          </w:p>
        </w:tc>
        <w:tc>
          <w:tcPr>
            <w:tcW w:w="1202" w:type="dxa"/>
            <w:tcBorders>
              <w:top w:val="nil"/>
              <w:left w:val="nil"/>
              <w:bottom w:val="single" w:sz="8" w:space="0" w:color="auto"/>
              <w:right w:val="single" w:sz="8" w:space="0" w:color="auto"/>
            </w:tcBorders>
            <w:shd w:val="clear" w:color="000000" w:fill="FFFFFF"/>
            <w:vAlign w:val="center"/>
            <w:hideMark/>
          </w:tcPr>
          <w:p w14:paraId="19E40DF2"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19,000</w:t>
            </w:r>
          </w:p>
        </w:tc>
        <w:tc>
          <w:tcPr>
            <w:tcW w:w="1201" w:type="dxa"/>
            <w:tcBorders>
              <w:top w:val="nil"/>
              <w:left w:val="nil"/>
              <w:bottom w:val="single" w:sz="8" w:space="0" w:color="auto"/>
              <w:right w:val="single" w:sz="8" w:space="0" w:color="auto"/>
            </w:tcBorders>
            <w:shd w:val="clear" w:color="000000" w:fill="FFFFFF"/>
            <w:vAlign w:val="center"/>
            <w:hideMark/>
          </w:tcPr>
          <w:p w14:paraId="5CF7AA8B"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93,400</w:t>
            </w:r>
          </w:p>
        </w:tc>
        <w:tc>
          <w:tcPr>
            <w:tcW w:w="1202" w:type="dxa"/>
            <w:tcBorders>
              <w:top w:val="nil"/>
              <w:left w:val="nil"/>
              <w:bottom w:val="single" w:sz="8" w:space="0" w:color="auto"/>
              <w:right w:val="single" w:sz="8" w:space="0" w:color="auto"/>
            </w:tcBorders>
            <w:shd w:val="clear" w:color="000000" w:fill="FFFFFF"/>
            <w:vAlign w:val="center"/>
            <w:hideMark/>
          </w:tcPr>
          <w:p w14:paraId="24568817"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19,000</w:t>
            </w:r>
          </w:p>
        </w:tc>
        <w:tc>
          <w:tcPr>
            <w:tcW w:w="1201" w:type="dxa"/>
            <w:tcBorders>
              <w:top w:val="nil"/>
              <w:left w:val="nil"/>
              <w:bottom w:val="single" w:sz="8" w:space="0" w:color="auto"/>
              <w:right w:val="single" w:sz="8" w:space="0" w:color="auto"/>
            </w:tcBorders>
            <w:shd w:val="clear" w:color="000000" w:fill="FFFFFF"/>
            <w:vAlign w:val="center"/>
            <w:hideMark/>
          </w:tcPr>
          <w:p w14:paraId="26AF9BEB" w14:textId="09BA2A84" w:rsidR="00D75338" w:rsidRPr="008879A5" w:rsidRDefault="00D75338" w:rsidP="00D75338">
            <w:pPr>
              <w:spacing w:after="0"/>
              <w:jc w:val="center"/>
              <w:rPr>
                <w:rFonts w:eastAsia="Times New Roman" w:cs="Arial"/>
                <w:color w:val="000000"/>
                <w:sz w:val="20"/>
                <w:lang w:eastAsia="en-GB"/>
              </w:rPr>
            </w:pPr>
            <w:r>
              <w:rPr>
                <w:rFonts w:ascii="Arial" w:hAnsi="Arial" w:cs="Arial"/>
                <w:color w:val="000000"/>
                <w:sz w:val="20"/>
              </w:rPr>
              <w:t>21,500</w:t>
            </w:r>
          </w:p>
        </w:tc>
        <w:tc>
          <w:tcPr>
            <w:tcW w:w="1202" w:type="dxa"/>
            <w:tcBorders>
              <w:top w:val="nil"/>
              <w:left w:val="nil"/>
              <w:bottom w:val="single" w:sz="8" w:space="0" w:color="auto"/>
              <w:right w:val="single" w:sz="8" w:space="0" w:color="auto"/>
            </w:tcBorders>
            <w:shd w:val="clear" w:color="000000" w:fill="FFFFFF"/>
            <w:vAlign w:val="center"/>
            <w:hideMark/>
          </w:tcPr>
          <w:p w14:paraId="39FD5DBD" w14:textId="77777777" w:rsidR="00D75338" w:rsidRPr="008879A5" w:rsidRDefault="00D75338" w:rsidP="00D75338">
            <w:pPr>
              <w:spacing w:after="0"/>
              <w:jc w:val="center"/>
              <w:rPr>
                <w:rFonts w:eastAsia="Times New Roman" w:cs="Arial"/>
                <w:color w:val="000000"/>
                <w:sz w:val="20"/>
                <w:lang w:eastAsia="en-GB"/>
              </w:rPr>
            </w:pPr>
            <w:r w:rsidRPr="008879A5">
              <w:rPr>
                <w:rFonts w:eastAsia="Times New Roman" w:cs="Arial"/>
                <w:color w:val="000000"/>
                <w:sz w:val="20"/>
                <w:lang w:eastAsia="en-GB"/>
              </w:rPr>
              <w:t>19,000</w:t>
            </w:r>
          </w:p>
        </w:tc>
      </w:tr>
    </w:tbl>
    <w:p w14:paraId="5E584434" w14:textId="77777777" w:rsidR="00BB4060" w:rsidRDefault="00BB4060" w:rsidP="00BB4060">
      <w:pPr>
        <w:spacing w:after="120" w:line="278" w:lineRule="auto"/>
        <w:jc w:val="both"/>
        <w:rPr>
          <w:i/>
          <w:iCs/>
          <w:sz w:val="18"/>
          <w:szCs w:val="16"/>
        </w:rPr>
      </w:pPr>
    </w:p>
    <w:p w14:paraId="06363CC7" w14:textId="4B78B37B" w:rsidR="00BB4060" w:rsidRPr="00BB4060" w:rsidRDefault="00BB4060" w:rsidP="00BB4060">
      <w:pPr>
        <w:spacing w:after="120" w:line="278" w:lineRule="auto"/>
        <w:jc w:val="both"/>
        <w:rPr>
          <w:i/>
          <w:iCs/>
          <w:sz w:val="18"/>
          <w:szCs w:val="16"/>
        </w:rPr>
      </w:pPr>
      <w:r w:rsidRPr="00BB4060">
        <w:rPr>
          <w:i/>
          <w:iCs/>
          <w:sz w:val="18"/>
          <w:szCs w:val="16"/>
        </w:rPr>
        <w:t>Note: Labour supply assumes 2% per annum nominal growth in apprenticeship funding beyond 2026/27, no redeployment from adjacent occupations, and continuation of historic out-commuting trends. Labour demand aligns with scenario-specific delivery pathways based on CCC benchmarks.</w:t>
      </w:r>
    </w:p>
    <w:p w14:paraId="4B00D875" w14:textId="604613B6" w:rsidR="00E343A8" w:rsidRDefault="00E343A8" w:rsidP="00E343A8">
      <w:pPr>
        <w:pStyle w:val="Heading1"/>
        <w:spacing w:before="240" w:after="240"/>
        <w:rPr>
          <w:rFonts w:ascii="Helvetica Neue LT Std 65 Medium" w:hAnsi="Helvetica Neue LT Std 65 Medium"/>
          <w:bCs/>
        </w:rPr>
      </w:pPr>
      <w:bookmarkStart w:id="14" w:name="_Toc221182650"/>
      <w:r>
        <w:rPr>
          <w:rFonts w:ascii="Helvetica Neue LT Std 65 Medium" w:hAnsi="Helvetica Neue LT Std 65 Medium"/>
          <w:bCs/>
        </w:rPr>
        <w:lastRenderedPageBreak/>
        <w:t xml:space="preserve">Glossary of </w:t>
      </w:r>
      <w:r w:rsidR="000352D4">
        <w:rPr>
          <w:rFonts w:ascii="Helvetica Neue LT Std 65 Medium" w:hAnsi="Helvetica Neue LT Std 65 Medium"/>
          <w:bCs/>
        </w:rPr>
        <w:t xml:space="preserve">key </w:t>
      </w:r>
      <w:r>
        <w:rPr>
          <w:rFonts w:ascii="Helvetica Neue LT Std 65 Medium" w:hAnsi="Helvetica Neue LT Std 65 Medium"/>
          <w:bCs/>
        </w:rPr>
        <w:t>terms</w:t>
      </w:r>
      <w:bookmarkEnd w:id="14"/>
    </w:p>
    <w:p w14:paraId="4385BEBA" w14:textId="07F1B988" w:rsidR="000352D4" w:rsidRDefault="000352D4" w:rsidP="000352D4">
      <w:pPr>
        <w:spacing w:after="120" w:line="278" w:lineRule="auto"/>
        <w:jc w:val="both"/>
        <w:rPr>
          <w:b/>
          <w:bCs/>
        </w:rPr>
      </w:pPr>
      <w:r w:rsidRPr="000352D4">
        <w:rPr>
          <w:b/>
          <w:bCs/>
        </w:rPr>
        <w:t>Adjacent occupations</w:t>
      </w:r>
    </w:p>
    <w:p w14:paraId="46CF9461" w14:textId="1C2AAAC0" w:rsidR="000352D4" w:rsidRDefault="000352D4" w:rsidP="000352D4">
      <w:pPr>
        <w:spacing w:after="120" w:line="278" w:lineRule="auto"/>
        <w:jc w:val="both"/>
        <w:rPr>
          <w:b/>
          <w:bCs/>
        </w:rPr>
      </w:pPr>
      <w:r w:rsidRPr="000352D4">
        <w:t>Jobs that are not currently part of the retrofit workforce but involve skills that could plausibly transfer into retrofit activity with retraining or redeployment. Examples include electricians working outside construction or technicians in related technical fields.</w:t>
      </w:r>
    </w:p>
    <w:p w14:paraId="73954087" w14:textId="08FC016E" w:rsidR="000352D4" w:rsidRPr="000352D4" w:rsidRDefault="000352D4" w:rsidP="000352D4">
      <w:pPr>
        <w:spacing w:after="120" w:line="278" w:lineRule="auto"/>
        <w:jc w:val="both"/>
        <w:rPr>
          <w:b/>
          <w:bCs/>
        </w:rPr>
      </w:pPr>
      <w:r w:rsidRPr="000352D4">
        <w:rPr>
          <w:b/>
          <w:bCs/>
        </w:rPr>
        <w:t>Annual Population Survey (APS)</w:t>
      </w:r>
    </w:p>
    <w:p w14:paraId="214D5009" w14:textId="77777777" w:rsidR="000352D4" w:rsidRDefault="000352D4" w:rsidP="000352D4">
      <w:pPr>
        <w:spacing w:after="120" w:line="278" w:lineRule="auto"/>
        <w:jc w:val="both"/>
      </w:pPr>
      <w:r w:rsidRPr="000352D4">
        <w:t>A large UK household survey that provides data on employment, occupations, industries, and regions. It is the primary source used to estimate workforce capacity in Wales.</w:t>
      </w:r>
    </w:p>
    <w:p w14:paraId="3E31385F" w14:textId="2FFF0565" w:rsidR="000352D4" w:rsidRPr="000352D4" w:rsidRDefault="000352D4" w:rsidP="000352D4">
      <w:pPr>
        <w:spacing w:after="120" w:line="278" w:lineRule="auto"/>
        <w:jc w:val="both"/>
        <w:rPr>
          <w:b/>
          <w:bCs/>
        </w:rPr>
      </w:pPr>
      <w:r w:rsidRPr="000352D4">
        <w:rPr>
          <w:b/>
          <w:bCs/>
        </w:rPr>
        <w:t>Apprenticeship completion</w:t>
      </w:r>
    </w:p>
    <w:p w14:paraId="697D8388" w14:textId="71F7F639" w:rsidR="000352D4" w:rsidRDefault="000352D4" w:rsidP="000352D4">
      <w:pPr>
        <w:spacing w:after="120" w:line="278" w:lineRule="auto"/>
        <w:jc w:val="both"/>
      </w:pPr>
      <w:r>
        <w:t>The successful completion of an apprenticeship programme, resulting in a worker who is considered qualified and able to work independently.</w:t>
      </w:r>
    </w:p>
    <w:p w14:paraId="24383DF5" w14:textId="50ADD5CD" w:rsidR="000352D4" w:rsidRPr="000352D4" w:rsidRDefault="000352D4" w:rsidP="000352D4">
      <w:pPr>
        <w:spacing w:after="120" w:line="278" w:lineRule="auto"/>
        <w:jc w:val="both"/>
        <w:rPr>
          <w:b/>
          <w:bCs/>
        </w:rPr>
      </w:pPr>
      <w:r w:rsidRPr="000352D4">
        <w:rPr>
          <w:b/>
          <w:bCs/>
        </w:rPr>
        <w:t>Apprenticeship start</w:t>
      </w:r>
    </w:p>
    <w:p w14:paraId="4D248325" w14:textId="37F0054C" w:rsidR="000352D4" w:rsidRDefault="000352D4" w:rsidP="000352D4">
      <w:pPr>
        <w:spacing w:after="120" w:line="278" w:lineRule="auto"/>
        <w:jc w:val="both"/>
      </w:pPr>
      <w:r>
        <w:t>The number of individuals beginning an apprenticeship programme in a given year. Starts precede completions and are used to forecast future labour supply.</w:t>
      </w:r>
    </w:p>
    <w:p w14:paraId="6EA1EDC6" w14:textId="0E07F6B3" w:rsidR="000352D4" w:rsidRPr="000352D4" w:rsidRDefault="000352D4" w:rsidP="000352D4">
      <w:pPr>
        <w:spacing w:after="120" w:line="278" w:lineRule="auto"/>
        <w:jc w:val="both"/>
        <w:rPr>
          <w:b/>
          <w:bCs/>
        </w:rPr>
      </w:pPr>
      <w:r w:rsidRPr="000352D4">
        <w:rPr>
          <w:b/>
          <w:bCs/>
        </w:rPr>
        <w:t>Capacity</w:t>
      </w:r>
    </w:p>
    <w:p w14:paraId="0ACEFFC2" w14:textId="1C3CC4EB" w:rsidR="000352D4" w:rsidRDefault="000352D4" w:rsidP="000352D4">
      <w:pPr>
        <w:spacing w:after="120" w:line="278" w:lineRule="auto"/>
        <w:jc w:val="both"/>
      </w:pPr>
      <w:r>
        <w:t>The number of workers available to deliver retrofit activity, either currently employed in retrofit-relevant roles or potentially available through redeployment.</w:t>
      </w:r>
    </w:p>
    <w:p w14:paraId="3C9BC7DB" w14:textId="466EACD4" w:rsidR="000352D4" w:rsidRPr="000352D4" w:rsidRDefault="000352D4" w:rsidP="000352D4">
      <w:pPr>
        <w:spacing w:after="120" w:line="278" w:lineRule="auto"/>
        <w:jc w:val="both"/>
        <w:rPr>
          <w:b/>
          <w:bCs/>
        </w:rPr>
      </w:pPr>
      <w:r w:rsidRPr="000352D4">
        <w:rPr>
          <w:b/>
          <w:bCs/>
        </w:rPr>
        <w:t>Core occupations</w:t>
      </w:r>
    </w:p>
    <w:p w14:paraId="5301DC38" w14:textId="1EE90B92" w:rsidR="000352D4" w:rsidRDefault="000352D4" w:rsidP="000352D4">
      <w:pPr>
        <w:spacing w:after="120" w:line="278" w:lineRule="auto"/>
        <w:jc w:val="both"/>
      </w:pPr>
      <w:r>
        <w:t>Jobs that are already directly involved in retrofit activity, such as electricians, plumbers, insulation installers, and related supervisory roles.</w:t>
      </w:r>
    </w:p>
    <w:p w14:paraId="483D461E" w14:textId="6D6DAF9C" w:rsidR="000352D4" w:rsidRPr="000352D4" w:rsidRDefault="000352D4" w:rsidP="000352D4">
      <w:pPr>
        <w:spacing w:after="120" w:line="278" w:lineRule="auto"/>
        <w:jc w:val="both"/>
        <w:rPr>
          <w:b/>
          <w:bCs/>
        </w:rPr>
      </w:pPr>
      <w:r w:rsidRPr="000352D4">
        <w:rPr>
          <w:b/>
          <w:bCs/>
        </w:rPr>
        <w:t>Cross-border out-commuting</w:t>
      </w:r>
    </w:p>
    <w:p w14:paraId="32F3EAF6" w14:textId="23F6F021" w:rsidR="000352D4" w:rsidRDefault="000352D4" w:rsidP="000352D4">
      <w:pPr>
        <w:spacing w:after="120" w:line="278" w:lineRule="auto"/>
        <w:jc w:val="both"/>
      </w:pPr>
      <w:r>
        <w:t>The movement of workers who live in Wales but travel to England for work. In this report, out-commuting reduces the effective labour supply available for retrofit in Wales.</w:t>
      </w:r>
    </w:p>
    <w:p w14:paraId="5289B41C" w14:textId="77777777" w:rsidR="000352D4" w:rsidRPr="000352D4" w:rsidRDefault="000352D4" w:rsidP="000352D4">
      <w:pPr>
        <w:spacing w:after="120" w:line="278" w:lineRule="auto"/>
        <w:jc w:val="both"/>
        <w:rPr>
          <w:b/>
          <w:bCs/>
        </w:rPr>
      </w:pPr>
      <w:r w:rsidRPr="000352D4">
        <w:rPr>
          <w:b/>
          <w:bCs/>
        </w:rPr>
        <w:t>Elasticity</w:t>
      </w:r>
    </w:p>
    <w:p w14:paraId="4DF8F3D9" w14:textId="7063E38F" w:rsidR="000352D4" w:rsidRDefault="000352D4" w:rsidP="000352D4">
      <w:pPr>
        <w:spacing w:after="120" w:line="278" w:lineRule="auto"/>
        <w:jc w:val="both"/>
      </w:pPr>
      <w:r>
        <w:t xml:space="preserve">A measure of responsiveness i.e. </w:t>
      </w:r>
      <w:r w:rsidRPr="000352D4">
        <w:t>how much one factor changes in response to changes in another factor</w:t>
      </w:r>
      <w:r>
        <w:t>. In this report, elasticity describes how much out-commuting or apprenticeship starts change in response to a percentage change in economic activity or funding.</w:t>
      </w:r>
    </w:p>
    <w:p w14:paraId="62AFA0E0" w14:textId="77777777" w:rsidR="000352D4" w:rsidRPr="000352D4" w:rsidRDefault="000352D4" w:rsidP="000352D4">
      <w:pPr>
        <w:spacing w:after="120" w:line="278" w:lineRule="auto"/>
        <w:jc w:val="both"/>
        <w:rPr>
          <w:b/>
          <w:bCs/>
        </w:rPr>
      </w:pPr>
      <w:r w:rsidRPr="000352D4">
        <w:rPr>
          <w:b/>
          <w:bCs/>
        </w:rPr>
        <w:t>Fixed effects</w:t>
      </w:r>
    </w:p>
    <w:p w14:paraId="46B9CAFB" w14:textId="0B09AC55" w:rsidR="000352D4" w:rsidRDefault="000352D4" w:rsidP="000352D4">
      <w:pPr>
        <w:spacing w:after="120" w:line="278" w:lineRule="auto"/>
        <w:jc w:val="both"/>
      </w:pPr>
      <w:r>
        <w:t>A modelling approach that controls for characteristics that do not change over time, such as geography or long-standing local labour market conditions. This helps isolate the effect of variables that do change over time.</w:t>
      </w:r>
    </w:p>
    <w:p w14:paraId="3B7552B4" w14:textId="7D813650" w:rsidR="00A34ED3" w:rsidRPr="000352D4" w:rsidRDefault="00A34ED3" w:rsidP="00A34ED3">
      <w:pPr>
        <w:spacing w:after="120" w:line="278" w:lineRule="auto"/>
        <w:jc w:val="both"/>
        <w:rPr>
          <w:b/>
          <w:bCs/>
        </w:rPr>
      </w:pPr>
      <w:r>
        <w:rPr>
          <w:b/>
          <w:bCs/>
        </w:rPr>
        <w:t>Hausman test</w:t>
      </w:r>
    </w:p>
    <w:p w14:paraId="06DF4435" w14:textId="326949BC" w:rsidR="00A34ED3" w:rsidRDefault="00A34ED3" w:rsidP="000352D4">
      <w:pPr>
        <w:spacing w:after="120" w:line="278" w:lineRule="auto"/>
        <w:jc w:val="both"/>
      </w:pPr>
      <w:r>
        <w:t>A statistical test used to determine whether a fixed-effects or random-effects model is more appropriate in panel data analysis. The test assesses whether unobserved characteristics are correlated with the explanatory variables. A significant result indicates that a fixed-effects specification is required to produce consistent estimates.</w:t>
      </w:r>
    </w:p>
    <w:p w14:paraId="35C9688A" w14:textId="77777777" w:rsidR="00A34ED3" w:rsidRDefault="00A34ED3" w:rsidP="000352D4">
      <w:pPr>
        <w:spacing w:after="120" w:line="278" w:lineRule="auto"/>
        <w:jc w:val="both"/>
      </w:pPr>
    </w:p>
    <w:p w14:paraId="64F9EB3A" w14:textId="3284079D" w:rsidR="000352D4" w:rsidRPr="000352D4" w:rsidRDefault="000352D4" w:rsidP="000352D4">
      <w:pPr>
        <w:spacing w:after="120" w:line="278" w:lineRule="auto"/>
        <w:jc w:val="both"/>
        <w:rPr>
          <w:b/>
          <w:bCs/>
        </w:rPr>
      </w:pPr>
      <w:r w:rsidRPr="000352D4">
        <w:rPr>
          <w:b/>
          <w:bCs/>
        </w:rPr>
        <w:lastRenderedPageBreak/>
        <w:t>Labour demand</w:t>
      </w:r>
    </w:p>
    <w:p w14:paraId="3CDD7863" w14:textId="71F67BED" w:rsidR="000352D4" w:rsidRPr="00A34ED3" w:rsidRDefault="000352D4" w:rsidP="00A34ED3">
      <w:pPr>
        <w:spacing w:after="120" w:line="278" w:lineRule="auto"/>
        <w:jc w:val="both"/>
      </w:pPr>
      <w:r>
        <w:t>The number of workers required to deliver retrofit activity in a given year, based on the scale of retrofit works and labour-hour requirements.</w:t>
      </w:r>
    </w:p>
    <w:p w14:paraId="07DDA28A" w14:textId="4EC6D4C5" w:rsidR="000352D4" w:rsidRPr="000352D4" w:rsidRDefault="000352D4" w:rsidP="000352D4">
      <w:pPr>
        <w:spacing w:after="120" w:line="278" w:lineRule="auto"/>
        <w:jc w:val="both"/>
        <w:rPr>
          <w:b/>
          <w:bCs/>
        </w:rPr>
      </w:pPr>
      <w:r w:rsidRPr="000352D4">
        <w:rPr>
          <w:b/>
          <w:bCs/>
        </w:rPr>
        <w:t>Labour supply</w:t>
      </w:r>
    </w:p>
    <w:p w14:paraId="163A41FE" w14:textId="620A19F1" w:rsidR="000352D4" w:rsidRDefault="000352D4" w:rsidP="000352D4">
      <w:pPr>
        <w:spacing w:after="120" w:line="278" w:lineRule="auto"/>
        <w:jc w:val="both"/>
      </w:pPr>
      <w:r>
        <w:t>The number of workers available to deliver retrofit activity, after accounting for training inflows, retirements, redeployment, and out-commuting.</w:t>
      </w:r>
    </w:p>
    <w:p w14:paraId="7D4BB4A1" w14:textId="77777777" w:rsidR="000352D4" w:rsidRPr="000352D4" w:rsidRDefault="000352D4" w:rsidP="000352D4">
      <w:pPr>
        <w:spacing w:after="120" w:line="278" w:lineRule="auto"/>
        <w:jc w:val="both"/>
        <w:rPr>
          <w:b/>
          <w:bCs/>
        </w:rPr>
      </w:pPr>
      <w:r w:rsidRPr="000352D4">
        <w:rPr>
          <w:b/>
          <w:bCs/>
        </w:rPr>
        <w:t>Moving average</w:t>
      </w:r>
    </w:p>
    <w:p w14:paraId="0B3F660C" w14:textId="412D2B73" w:rsidR="000352D4" w:rsidRDefault="000352D4" w:rsidP="000352D4">
      <w:pPr>
        <w:spacing w:after="120" w:line="278" w:lineRule="auto"/>
        <w:jc w:val="both"/>
      </w:pPr>
      <w:r>
        <w:t>A statistical smoothing technique that averages values over several years to remove short-term volatility and reveal underlying trends.</w:t>
      </w:r>
    </w:p>
    <w:p w14:paraId="45D2C645" w14:textId="40B4B00E" w:rsidR="00A34ED3" w:rsidRPr="000352D4" w:rsidRDefault="00A34ED3" w:rsidP="00A34ED3">
      <w:pPr>
        <w:spacing w:after="120" w:line="278" w:lineRule="auto"/>
        <w:jc w:val="both"/>
        <w:rPr>
          <w:b/>
          <w:bCs/>
        </w:rPr>
      </w:pPr>
      <w:r>
        <w:rPr>
          <w:b/>
          <w:bCs/>
        </w:rPr>
        <w:t>Microdata</w:t>
      </w:r>
    </w:p>
    <w:p w14:paraId="76DF1489" w14:textId="44653177" w:rsidR="00A34ED3" w:rsidRDefault="00A34ED3" w:rsidP="00A34ED3">
      <w:pPr>
        <w:spacing w:after="120" w:line="278" w:lineRule="auto"/>
        <w:jc w:val="both"/>
      </w:pPr>
      <w:r>
        <w:t>Individual-level survey data that record characteristics and outcomes for each observation, such as households or workers, rather than aggregated totals. Microdata allow detailed analysis and modelling at a granular level, including the identification of specific retrofit needs or occupational characteristics.</w:t>
      </w:r>
      <w:r w:rsidR="0037343F">
        <w:t xml:space="preserve"> </w:t>
      </w:r>
      <w:r w:rsidR="0037343F" w:rsidRPr="00BF60B5">
        <w:t>Often only available to researchers on request.</w:t>
      </w:r>
    </w:p>
    <w:p w14:paraId="4363CA74" w14:textId="1F1800B0" w:rsidR="00A34ED3" w:rsidRPr="000352D4" w:rsidRDefault="00A34ED3" w:rsidP="00A34ED3">
      <w:pPr>
        <w:spacing w:after="120" w:line="278" w:lineRule="auto"/>
        <w:jc w:val="both"/>
        <w:rPr>
          <w:b/>
          <w:bCs/>
        </w:rPr>
      </w:pPr>
      <w:r>
        <w:rPr>
          <w:b/>
          <w:bCs/>
        </w:rPr>
        <w:t>Nowcast</w:t>
      </w:r>
    </w:p>
    <w:p w14:paraId="58438B24" w14:textId="77777777" w:rsidR="00A34ED3" w:rsidRDefault="00A34ED3" w:rsidP="000352D4">
      <w:pPr>
        <w:spacing w:after="120" w:line="278" w:lineRule="auto"/>
        <w:jc w:val="both"/>
      </w:pPr>
      <w:r>
        <w:t>An estimation of the current or near-current state of a variable using the most recent available data, where official statistics are published with a time lag. In this report, nowcasting is used to update historic survey data to reflect likely present-day conditions by incorporating more recent installation and administrative data.</w:t>
      </w:r>
    </w:p>
    <w:p w14:paraId="551DA85E" w14:textId="43777154" w:rsidR="000352D4" w:rsidRPr="000352D4" w:rsidRDefault="000352D4" w:rsidP="000352D4">
      <w:pPr>
        <w:spacing w:after="120" w:line="278" w:lineRule="auto"/>
        <w:jc w:val="both"/>
        <w:rPr>
          <w:b/>
          <w:bCs/>
        </w:rPr>
      </w:pPr>
      <w:r w:rsidRPr="000352D4">
        <w:rPr>
          <w:b/>
          <w:bCs/>
        </w:rPr>
        <w:t>Panel regression</w:t>
      </w:r>
    </w:p>
    <w:p w14:paraId="06B7C036" w14:textId="77777777" w:rsidR="000352D4" w:rsidRDefault="000352D4" w:rsidP="000352D4">
      <w:pPr>
        <w:spacing w:after="120" w:line="278" w:lineRule="auto"/>
        <w:jc w:val="both"/>
      </w:pPr>
      <w:r>
        <w:t>A statistical method that analyses data across both time and entities (such as local authorities), allowing the model to exploit variation across both dimensions.</w:t>
      </w:r>
    </w:p>
    <w:p w14:paraId="391BCE7E" w14:textId="6ADC1E5D" w:rsidR="000352D4" w:rsidRPr="000352D4" w:rsidRDefault="000352D4" w:rsidP="000352D4">
      <w:pPr>
        <w:spacing w:after="120" w:line="278" w:lineRule="auto"/>
        <w:jc w:val="both"/>
        <w:rPr>
          <w:b/>
          <w:bCs/>
        </w:rPr>
      </w:pPr>
      <w:r w:rsidRPr="000352D4">
        <w:rPr>
          <w:b/>
          <w:bCs/>
        </w:rPr>
        <w:t>PAS 2035</w:t>
      </w:r>
    </w:p>
    <w:p w14:paraId="394CDD3F" w14:textId="77777777" w:rsidR="000352D4" w:rsidRDefault="000352D4" w:rsidP="000352D4">
      <w:pPr>
        <w:spacing w:after="120" w:line="278" w:lineRule="auto"/>
        <w:jc w:val="both"/>
      </w:pPr>
      <w:r>
        <w:t>The UK standard that sets out requirements for the design, installation, and quality assurance of domestic retrofit projects. It informs which qualification levels are considered labour-ready.</w:t>
      </w:r>
    </w:p>
    <w:p w14:paraId="5E19B6C3" w14:textId="4FD355DF" w:rsidR="000352D4" w:rsidRPr="000352D4" w:rsidRDefault="000352D4" w:rsidP="000352D4">
      <w:pPr>
        <w:spacing w:after="120" w:line="278" w:lineRule="auto"/>
        <w:jc w:val="both"/>
        <w:rPr>
          <w:b/>
          <w:bCs/>
        </w:rPr>
      </w:pPr>
      <w:r w:rsidRPr="000352D4">
        <w:rPr>
          <w:b/>
          <w:bCs/>
        </w:rPr>
        <w:t>Redeployment</w:t>
      </w:r>
    </w:p>
    <w:p w14:paraId="72063477" w14:textId="195917D1" w:rsidR="000352D4" w:rsidRDefault="000352D4" w:rsidP="000352D4">
      <w:pPr>
        <w:spacing w:after="120" w:line="278" w:lineRule="auto"/>
        <w:jc w:val="both"/>
      </w:pPr>
      <w:r>
        <w:t>The movement of workers from adjacent occupations into retrofit roles, typically requiring retraining or certification.</w:t>
      </w:r>
    </w:p>
    <w:p w14:paraId="7317A247" w14:textId="46B579D5" w:rsidR="000352D4" w:rsidRPr="000352D4" w:rsidRDefault="000352D4" w:rsidP="000352D4">
      <w:pPr>
        <w:spacing w:after="120" w:line="278" w:lineRule="auto"/>
        <w:jc w:val="both"/>
        <w:rPr>
          <w:b/>
          <w:bCs/>
        </w:rPr>
      </w:pPr>
      <w:r w:rsidRPr="000352D4">
        <w:rPr>
          <w:b/>
          <w:bCs/>
        </w:rPr>
        <w:t>Replacement demand</w:t>
      </w:r>
    </w:p>
    <w:p w14:paraId="213507A1" w14:textId="77777777" w:rsidR="000352D4" w:rsidRDefault="000352D4" w:rsidP="000352D4">
      <w:pPr>
        <w:spacing w:after="120" w:line="278" w:lineRule="auto"/>
        <w:jc w:val="both"/>
      </w:pPr>
      <w:r>
        <w:t>The number of workers who need to be replaced each year due to retirement, illness, career changes, or other exits from the workforce.</w:t>
      </w:r>
    </w:p>
    <w:p w14:paraId="646C5077" w14:textId="77777777" w:rsidR="000352D4" w:rsidRPr="000352D4" w:rsidRDefault="000352D4" w:rsidP="000352D4">
      <w:pPr>
        <w:spacing w:after="120" w:line="278" w:lineRule="auto"/>
        <w:jc w:val="both"/>
        <w:rPr>
          <w:b/>
          <w:bCs/>
        </w:rPr>
      </w:pPr>
      <w:r w:rsidRPr="000352D4">
        <w:rPr>
          <w:b/>
          <w:bCs/>
        </w:rPr>
        <w:t>Retrofit delivery scenario</w:t>
      </w:r>
    </w:p>
    <w:p w14:paraId="052711BF" w14:textId="063D4E79" w:rsidR="000352D4" w:rsidRDefault="000352D4" w:rsidP="000352D4">
      <w:pPr>
        <w:spacing w:after="120" w:line="278" w:lineRule="auto"/>
        <w:jc w:val="both"/>
      </w:pPr>
      <w:r>
        <w:t xml:space="preserve">A defined pathway describing how quickly and at what scale homes are retrofitted over time. The report uses </w:t>
      </w:r>
      <w:r w:rsidR="00236ADA">
        <w:t>high-demand</w:t>
      </w:r>
      <w:r>
        <w:t xml:space="preserve">, base, and </w:t>
      </w:r>
      <w:r w:rsidR="00236ADA">
        <w:t>low-demand</w:t>
      </w:r>
      <w:r>
        <w:t xml:space="preserve"> scenarios.</w:t>
      </w:r>
    </w:p>
    <w:p w14:paraId="2E7C089D" w14:textId="1484F830" w:rsidR="000352D4" w:rsidRPr="000352D4" w:rsidRDefault="000352D4" w:rsidP="000352D4">
      <w:pPr>
        <w:spacing w:after="120" w:line="278" w:lineRule="auto"/>
        <w:jc w:val="both"/>
        <w:rPr>
          <w:b/>
          <w:bCs/>
        </w:rPr>
      </w:pPr>
      <w:r w:rsidRPr="000352D4">
        <w:rPr>
          <w:b/>
          <w:bCs/>
        </w:rPr>
        <w:t>Retrofit workforce</w:t>
      </w:r>
    </w:p>
    <w:p w14:paraId="0571EAA6" w14:textId="61A732EA" w:rsidR="000352D4" w:rsidRDefault="000352D4" w:rsidP="000352D4">
      <w:pPr>
        <w:spacing w:after="120" w:line="278" w:lineRule="auto"/>
        <w:jc w:val="both"/>
      </w:pPr>
      <w:r>
        <w:t>The set of workers involved in delivering home retrofit activity, including direct installers, support roles, and supervisory staff.</w:t>
      </w:r>
    </w:p>
    <w:p w14:paraId="7E43891D" w14:textId="1975E515" w:rsidR="000352D4" w:rsidRPr="000352D4" w:rsidRDefault="000352D4" w:rsidP="000352D4">
      <w:pPr>
        <w:spacing w:after="120" w:line="278" w:lineRule="auto"/>
        <w:jc w:val="both"/>
        <w:rPr>
          <w:b/>
          <w:bCs/>
        </w:rPr>
      </w:pPr>
      <w:r w:rsidRPr="000352D4">
        <w:rPr>
          <w:b/>
          <w:bCs/>
        </w:rPr>
        <w:lastRenderedPageBreak/>
        <w:t>SIC–SOC matrix</w:t>
      </w:r>
    </w:p>
    <w:p w14:paraId="40FD562F" w14:textId="2D9E48FC" w:rsidR="000352D4" w:rsidRDefault="000352D4" w:rsidP="000352D4">
      <w:pPr>
        <w:spacing w:after="120" w:line="278" w:lineRule="auto"/>
        <w:jc w:val="both"/>
      </w:pPr>
      <w:r>
        <w:t>A mapping that links occupations (SOC codes) to industries (SIC codes), allowing analysts to estimate how many people in specific jobs work in specific sectors.</w:t>
      </w:r>
    </w:p>
    <w:p w14:paraId="51E02B61" w14:textId="77777777" w:rsidR="000352D4" w:rsidRPr="000352D4" w:rsidRDefault="000352D4" w:rsidP="000352D4">
      <w:pPr>
        <w:spacing w:after="120" w:line="278" w:lineRule="auto"/>
        <w:jc w:val="both"/>
        <w:rPr>
          <w:b/>
          <w:bCs/>
        </w:rPr>
      </w:pPr>
      <w:r w:rsidRPr="000352D4">
        <w:rPr>
          <w:b/>
          <w:bCs/>
        </w:rPr>
        <w:t>Statistical significance</w:t>
      </w:r>
    </w:p>
    <w:p w14:paraId="3E622115" w14:textId="1EEB8F7C" w:rsidR="000352D4" w:rsidRDefault="000352D4" w:rsidP="000352D4">
      <w:pPr>
        <w:spacing w:after="120" w:line="278" w:lineRule="auto"/>
        <w:jc w:val="both"/>
      </w:pPr>
      <w:r>
        <w:t>An indication of whether an estimated relationship is unlikely to have occurred by chance. Statistically significant results are treated as more robust.</w:t>
      </w:r>
    </w:p>
    <w:p w14:paraId="5DAFA810" w14:textId="1749536B" w:rsidR="000352D4" w:rsidRPr="000352D4" w:rsidRDefault="000352D4" w:rsidP="000352D4">
      <w:pPr>
        <w:spacing w:after="120" w:line="278" w:lineRule="auto"/>
        <w:jc w:val="both"/>
        <w:rPr>
          <w:b/>
          <w:bCs/>
        </w:rPr>
      </w:pPr>
      <w:r w:rsidRPr="000352D4">
        <w:rPr>
          <w:b/>
          <w:bCs/>
        </w:rPr>
        <w:t>Workforce gap</w:t>
      </w:r>
    </w:p>
    <w:p w14:paraId="79A2DFF0" w14:textId="0360F7CE" w:rsidR="000352D4" w:rsidRDefault="000352D4" w:rsidP="000352D4">
      <w:pPr>
        <w:spacing w:after="120" w:line="278" w:lineRule="auto"/>
        <w:jc w:val="both"/>
      </w:pPr>
      <w:r>
        <w:t>The difference between labour demand and labour supply. A positive gap indicates a shortage of workers; a negative gap indicates a surplus.</w:t>
      </w:r>
    </w:p>
    <w:p w14:paraId="509AF902" w14:textId="34883411" w:rsidR="0037343F" w:rsidRPr="00BF60B5" w:rsidRDefault="0037343F" w:rsidP="0037343F">
      <w:pPr>
        <w:pStyle w:val="Heading1"/>
        <w:spacing w:after="120" w:line="278" w:lineRule="auto"/>
        <w:ind w:right="-4913"/>
        <w:rPr>
          <w:rFonts w:ascii="Helvetica Neue LT Std 65 Medium" w:hAnsi="Helvetica Neue LT Std 65 Medium"/>
        </w:rPr>
      </w:pPr>
      <w:bookmarkStart w:id="15" w:name="_Toc221182651"/>
      <w:r w:rsidRPr="00BF60B5">
        <w:rPr>
          <w:rFonts w:ascii="Helvetica Neue LT Std 65 Medium" w:hAnsi="Helvetica Neue LT Std 65 Medium"/>
        </w:rPr>
        <w:lastRenderedPageBreak/>
        <w:t>Methodology</w:t>
      </w:r>
      <w:bookmarkEnd w:id="15"/>
    </w:p>
    <w:p w14:paraId="3197E735" w14:textId="459C50E1" w:rsidR="0037343F" w:rsidRPr="00BF60B5" w:rsidRDefault="0037343F" w:rsidP="0037343F">
      <w:pPr>
        <w:spacing w:after="120" w:line="278" w:lineRule="auto"/>
        <w:jc w:val="both"/>
        <w:rPr>
          <w:b/>
          <w:bCs/>
          <w:color w:val="auto"/>
          <w:sz w:val="28"/>
          <w:szCs w:val="28"/>
        </w:rPr>
      </w:pPr>
      <w:r w:rsidRPr="00BF60B5">
        <w:rPr>
          <w:b/>
          <w:bCs/>
          <w:color w:val="auto"/>
          <w:sz w:val="28"/>
          <w:szCs w:val="28"/>
        </w:rPr>
        <w:t>Current workforce capacity estimates</w:t>
      </w:r>
    </w:p>
    <w:p w14:paraId="2B8DA5AF" w14:textId="563D4E3D" w:rsidR="0037343F" w:rsidRPr="00BF60B5" w:rsidRDefault="0037343F" w:rsidP="0037343F">
      <w:pPr>
        <w:spacing w:after="120" w:line="278" w:lineRule="auto"/>
        <w:jc w:val="both"/>
      </w:pPr>
      <w:r w:rsidRPr="00BF60B5">
        <w:t xml:space="preserve">We begin by estimating the size of the workforce in Wales that is relevant to retrofit </w:t>
      </w:r>
      <w:r w:rsidR="000D19E4">
        <w:t xml:space="preserve">installation </w:t>
      </w:r>
      <w:r w:rsidRPr="00BF60B5">
        <w:t xml:space="preserve">delivery. The aim is to understand how much labour is already available, where the real constraints sit, and how far capacity could expand as demand increases. To do this, we use Standard Industrial Classification (SIC) – Standard Occupational Classification (SOC) matrices that link employment in occupations to employment in industries. </w:t>
      </w:r>
    </w:p>
    <w:p w14:paraId="741A04B6" w14:textId="5AB72D18" w:rsidR="0037343F" w:rsidRPr="00BF60B5" w:rsidRDefault="0037343F" w:rsidP="0037343F">
      <w:pPr>
        <w:spacing w:after="120" w:line="278" w:lineRule="auto"/>
        <w:jc w:val="both"/>
        <w:rPr>
          <w:b/>
          <w:bCs/>
        </w:rPr>
      </w:pPr>
      <w:r w:rsidRPr="00BF60B5">
        <w:rPr>
          <w:b/>
          <w:bCs/>
        </w:rPr>
        <w:t>How we classify the workforce</w:t>
      </w:r>
    </w:p>
    <w:p w14:paraId="2533A7AA" w14:textId="77777777" w:rsidR="0037343F" w:rsidRPr="00BF60B5" w:rsidRDefault="0037343F" w:rsidP="0037343F">
      <w:pPr>
        <w:spacing w:after="120" w:line="278" w:lineRule="auto"/>
        <w:jc w:val="both"/>
      </w:pPr>
      <w:r w:rsidRPr="00BF60B5">
        <w:t>We separate the workforce in two ways. The first segmentation is by function. This reflects how a role contributes to retrofit delivery:</w:t>
      </w:r>
    </w:p>
    <w:p w14:paraId="49B3EDD0" w14:textId="77777777" w:rsidR="0037343F" w:rsidRPr="00BF60B5" w:rsidRDefault="0037343F" w:rsidP="0037343F">
      <w:pPr>
        <w:numPr>
          <w:ilvl w:val="0"/>
          <w:numId w:val="24"/>
        </w:numPr>
        <w:spacing w:after="120" w:line="278" w:lineRule="auto"/>
        <w:jc w:val="both"/>
      </w:pPr>
      <w:r w:rsidRPr="00BF60B5">
        <w:rPr>
          <w:b/>
          <w:bCs/>
        </w:rPr>
        <w:t>Direct roles</w:t>
      </w:r>
      <w:r w:rsidRPr="00BF60B5">
        <w:t xml:space="preserve"> carry out the physical installation of retrofit measures, such as insulation, heat pumps, glazing, ventilation, and related building works. These roles form the core delivery constraint.</w:t>
      </w:r>
    </w:p>
    <w:p w14:paraId="16B7223A" w14:textId="68544E4D" w:rsidR="0037343F" w:rsidRPr="00BF60B5" w:rsidRDefault="0037343F" w:rsidP="0037343F">
      <w:pPr>
        <w:numPr>
          <w:ilvl w:val="0"/>
          <w:numId w:val="24"/>
        </w:numPr>
        <w:spacing w:after="120" w:line="278" w:lineRule="auto"/>
        <w:jc w:val="both"/>
      </w:pPr>
      <w:r w:rsidRPr="00BF60B5">
        <w:rPr>
          <w:b/>
          <w:bCs/>
        </w:rPr>
        <w:t>Support roles</w:t>
      </w:r>
      <w:r w:rsidRPr="00BF60B5">
        <w:t xml:space="preserve"> are essential on site but do not install retrofit measures themselves. This includes activities such as plastering, flooring, and decoration that follow installation and are necessary for projects to be completed and accepted.</w:t>
      </w:r>
    </w:p>
    <w:p w14:paraId="0AA8C07F" w14:textId="4C233CB8" w:rsidR="0037343F" w:rsidRPr="00BF60B5" w:rsidRDefault="0037343F" w:rsidP="0037343F">
      <w:pPr>
        <w:numPr>
          <w:ilvl w:val="0"/>
          <w:numId w:val="24"/>
        </w:numPr>
        <w:spacing w:after="120" w:line="278" w:lineRule="auto"/>
        <w:jc w:val="both"/>
      </w:pPr>
      <w:r w:rsidRPr="00BF60B5">
        <w:rPr>
          <w:b/>
          <w:bCs/>
        </w:rPr>
        <w:t>Supervisory roles</w:t>
      </w:r>
      <w:r w:rsidRPr="00BF60B5">
        <w:t xml:space="preserve"> plan, coordinate, and quality assure retrofit works. They support delivery but are not involved in hands on installation. This includes administrative, financial, technical and procurement roles that, while often not required on-site, are essential to the progression of retrofit objectives. </w:t>
      </w:r>
    </w:p>
    <w:p w14:paraId="06ED8F2C" w14:textId="12574F4F" w:rsidR="0037343F" w:rsidRPr="00BF60B5" w:rsidRDefault="0037343F" w:rsidP="0037343F">
      <w:pPr>
        <w:spacing w:after="120" w:line="278" w:lineRule="auto"/>
        <w:jc w:val="both"/>
      </w:pPr>
      <w:r w:rsidRPr="00BF60B5">
        <w:t>This distinction matters because shortages in direct installation roles are more likely to limit delivery far more than shortages in support or supervisory roles</w:t>
      </w:r>
      <w:r w:rsidR="00C4234E">
        <w:t>, and transferability is very different</w:t>
      </w:r>
      <w:r w:rsidR="006D5425">
        <w:t xml:space="preserve"> for some of these roles; back office functions can be provided by </w:t>
      </w:r>
      <w:r w:rsidR="00BE6326">
        <w:t xml:space="preserve">staff </w:t>
      </w:r>
      <w:r w:rsidR="00734713">
        <w:t>in almost any industry</w:t>
      </w:r>
      <w:r w:rsidR="00F742F4">
        <w:t xml:space="preserve"> with little or no re-training</w:t>
      </w:r>
    </w:p>
    <w:p w14:paraId="629A45F3" w14:textId="756D6354" w:rsidR="0037343F" w:rsidRPr="00BF60B5" w:rsidRDefault="0037343F" w:rsidP="0037343F">
      <w:pPr>
        <w:spacing w:after="120" w:line="278" w:lineRule="auto"/>
        <w:jc w:val="both"/>
      </w:pPr>
      <w:r w:rsidRPr="00BF60B5">
        <w:t>The second separation is by relationship to retrofit:</w:t>
      </w:r>
    </w:p>
    <w:p w14:paraId="537A799B" w14:textId="444EE650" w:rsidR="0037343F" w:rsidRPr="00BF60B5" w:rsidRDefault="0037343F" w:rsidP="0037343F">
      <w:pPr>
        <w:numPr>
          <w:ilvl w:val="0"/>
          <w:numId w:val="25"/>
        </w:numPr>
        <w:spacing w:after="120" w:line="278" w:lineRule="auto"/>
        <w:jc w:val="both"/>
      </w:pPr>
      <w:r w:rsidRPr="00BF60B5">
        <w:rPr>
          <w:b/>
          <w:bCs/>
        </w:rPr>
        <w:t>Core roles</w:t>
      </w:r>
      <w:r w:rsidRPr="00BF60B5">
        <w:t xml:space="preserve"> are jobs already involved in retrofit activity. These are mainly found in specialised construction industries that cover electrical installation, plumbing, heating systems, and related trades. We also include closely related construction activities where job descriptions indicate direct retrofit involvement.</w:t>
      </w:r>
    </w:p>
    <w:p w14:paraId="1C981297" w14:textId="3AC62289" w:rsidR="0037343F" w:rsidRPr="00BF60B5" w:rsidRDefault="0037343F" w:rsidP="0037343F">
      <w:pPr>
        <w:numPr>
          <w:ilvl w:val="0"/>
          <w:numId w:val="25"/>
        </w:numPr>
        <w:spacing w:after="120" w:line="278" w:lineRule="auto"/>
        <w:jc w:val="both"/>
      </w:pPr>
      <w:r w:rsidRPr="00BF60B5">
        <w:rPr>
          <w:b/>
          <w:bCs/>
        </w:rPr>
        <w:t>Adjacent roles</w:t>
      </w:r>
      <w:r w:rsidRPr="00BF60B5">
        <w:t xml:space="preserve"> are jobs not currently working on retrofit, but where skills could realistically transfer with redeployment (i.e., those in retrofit-relevant jobs outside of the retrofit industry, such as electricians in the hospitality sector) or retraining.</w:t>
      </w:r>
    </w:p>
    <w:p w14:paraId="110DF82F" w14:textId="31F1870B" w:rsidR="0037343F" w:rsidRPr="00BF60B5" w:rsidRDefault="0037343F" w:rsidP="0037343F">
      <w:pPr>
        <w:spacing w:after="120" w:line="278" w:lineRule="auto"/>
        <w:jc w:val="both"/>
      </w:pPr>
      <w:r w:rsidRPr="00BF60B5">
        <w:t xml:space="preserve">More detail on the occupational codes identified are detailed within Section 1. For completeness, the adjacent occupations highlighted within the aforementioned table on page </w:t>
      </w:r>
      <w:r w:rsidR="00BB4060">
        <w:t>24</w:t>
      </w:r>
      <w:r w:rsidRPr="00BF60B5">
        <w:t xml:space="preserve"> are on the basis of transferable skills rather than current industry placement. The latter group has not been included in the table, as these occupations are already captured within the core classification.</w:t>
      </w:r>
    </w:p>
    <w:p w14:paraId="5FF6E7EF" w14:textId="2FBC6B3A" w:rsidR="0037343F" w:rsidRPr="00BF60B5" w:rsidRDefault="0037343F" w:rsidP="0037343F">
      <w:pPr>
        <w:spacing w:after="120" w:line="278" w:lineRule="auto"/>
        <w:jc w:val="both"/>
      </w:pPr>
      <w:r w:rsidRPr="00BF60B5">
        <w:t>Including adjacent roles allows us to reflect potential flexibility in the labour market, without assuming that these workers are immediately available or fully skilled for retrofit work.</w:t>
      </w:r>
    </w:p>
    <w:p w14:paraId="2F0C1137" w14:textId="44ACBECC" w:rsidR="0037343F" w:rsidRPr="00BF60B5" w:rsidRDefault="0037343F" w:rsidP="0037343F">
      <w:pPr>
        <w:spacing w:after="120" w:line="278" w:lineRule="auto"/>
        <w:jc w:val="both"/>
        <w:rPr>
          <w:b/>
          <w:bCs/>
        </w:rPr>
      </w:pPr>
      <w:r w:rsidRPr="00BF60B5">
        <w:rPr>
          <w:b/>
          <w:bCs/>
        </w:rPr>
        <w:lastRenderedPageBreak/>
        <w:t>How capacity is estimated</w:t>
      </w:r>
    </w:p>
    <w:p w14:paraId="7CFD4364" w14:textId="7B941EEA" w:rsidR="0037343F" w:rsidRPr="00BF60B5" w:rsidRDefault="0037343F" w:rsidP="0037343F">
      <w:pPr>
        <w:spacing w:after="120" w:line="278" w:lineRule="auto"/>
        <w:jc w:val="both"/>
      </w:pPr>
      <w:r w:rsidRPr="00BF60B5">
        <w:t>Capacity estimates are formulated via the use of SIC-SOC matrices derived via the APS. For core roles, estimates are obtained by matching relevant 4-digit SOC codes with the relevant 2-/3-digit SIC, in this case SIC 43 (specialised construction activities) and associated 3-digit codes within SIC 43. Adjacent role estimates are industry-agnostic; the employment in the relevant SOCs are totalled across all SICs.</w:t>
      </w:r>
    </w:p>
    <w:p w14:paraId="1B0F606C" w14:textId="055B2AA2" w:rsidR="0037343F" w:rsidRPr="00BF60B5" w:rsidRDefault="0037343F" w:rsidP="0037343F">
      <w:pPr>
        <w:spacing w:after="120" w:line="278" w:lineRule="auto"/>
        <w:jc w:val="both"/>
      </w:pPr>
      <w:r w:rsidRPr="00BF60B5">
        <w:t xml:space="preserve">Our use of 4-digit SOC – 2-/3-digit SIC matrices reflects the need to balance granularity with statistical robustness. The key constraint here is suppression, where certain data points are deliberately not shown because they are based on too few people to be reliable. The more detailed the classification, the fewer survey respondents fall into each cell, which increases the likelihood of suppression. </w:t>
      </w:r>
    </w:p>
    <w:p w14:paraId="37F2C3E9" w14:textId="34DE3E13" w:rsidR="0037343F" w:rsidRPr="00BF60B5" w:rsidRDefault="0037343F" w:rsidP="0037343F">
      <w:pPr>
        <w:spacing w:after="120" w:line="278" w:lineRule="auto"/>
        <w:jc w:val="both"/>
      </w:pPr>
      <w:r w:rsidRPr="00BF60B5">
        <w:t>This effect is particularly important for Wales. Because the APS is a UK-wide survey, any analysis restricted to Wales inevitably uses a much smaller underlying sample. As a result, adding further granularity (for example moving from 2-digit to 3-digit SICs) reduces cell sizes to the point where suppression becomes more common.</w:t>
      </w:r>
    </w:p>
    <w:p w14:paraId="77528FB7" w14:textId="77777777" w:rsidR="0037343F" w:rsidRPr="00BF60B5" w:rsidRDefault="0037343F" w:rsidP="0037343F">
      <w:pPr>
        <w:spacing w:after="120" w:line="278" w:lineRule="auto"/>
        <w:jc w:val="both"/>
      </w:pPr>
      <w:r w:rsidRPr="00BF60B5">
        <w:t>In practice, using detailed occupation data combined with broader industry categories gives the most robust picture. Narrower industry splits are only used where necessary to avoid misrepresenting retrofit activity, such as when a broad job category includes both relevant and non-relevant roles.</w:t>
      </w:r>
    </w:p>
    <w:p w14:paraId="35606A06" w14:textId="5BAC680C" w:rsidR="0037343F" w:rsidRPr="00BF60B5" w:rsidRDefault="0037343F" w:rsidP="0037343F">
      <w:pPr>
        <w:spacing w:after="120" w:line="278" w:lineRule="auto"/>
        <w:jc w:val="both"/>
      </w:pPr>
      <w:r w:rsidRPr="00BF60B5">
        <w:t>To illustrate the trade off, discounting suppressed data, the 4-digit SOC to 2-digit SIC matrix for Wales only captures 63% of total employment in Wales for the period spanning the twelve months to June 2025. This drops to 53% when looking at the 4-digit SOC to 3-digit SIC matrix. Going further would make the data unreliable, so we do not use the most detailed industry level.</w:t>
      </w:r>
    </w:p>
    <w:p w14:paraId="4ED03C79" w14:textId="4D1CE25D" w:rsidR="0037343F" w:rsidRPr="00BF60B5" w:rsidRDefault="0037343F" w:rsidP="0037343F">
      <w:pPr>
        <w:spacing w:after="120" w:line="278" w:lineRule="auto"/>
        <w:jc w:val="both"/>
        <w:rPr>
          <w:b/>
          <w:bCs/>
        </w:rPr>
      </w:pPr>
      <w:r w:rsidRPr="00BF60B5">
        <w:rPr>
          <w:b/>
          <w:bCs/>
        </w:rPr>
        <w:t>Dealing with missing data</w:t>
      </w:r>
    </w:p>
    <w:p w14:paraId="25ACD50F" w14:textId="77777777" w:rsidR="0037343F" w:rsidRPr="00BF60B5" w:rsidRDefault="0037343F" w:rsidP="0037343F">
      <w:pPr>
        <w:spacing w:after="120" w:line="278" w:lineRule="auto"/>
        <w:jc w:val="both"/>
      </w:pPr>
      <w:r w:rsidRPr="00BF60B5">
        <w:t>Even with this approach, some data are suppressed because of small sample sizes. This is done to avoid drawing misleading conclusions from very small samples and to protect confidentiality. Where this occurs, we estimate the missing values using proportional methods. In simple terms, we look at how employment in a specific occupation is distributed across industries elsewhere in the data and use that pattern to allocate the missing portion.</w:t>
      </w:r>
    </w:p>
    <w:p w14:paraId="727677E3" w14:textId="42021F3B" w:rsidR="0037343F" w:rsidRPr="00BF60B5" w:rsidRDefault="0037343F" w:rsidP="0037343F">
      <w:pPr>
        <w:spacing w:after="120" w:line="278" w:lineRule="auto"/>
        <w:jc w:val="both"/>
      </w:pPr>
      <w:r w:rsidRPr="00BF60B5">
        <w:t>This ensures that the total workforce is not understated, while keeping estimates grounded in observed patterns. Any values that rely on this method are clearly flagged for transparency within the detailed tables in the Appendix.</w:t>
      </w:r>
    </w:p>
    <w:p w14:paraId="45E23EB1" w14:textId="77777777" w:rsidR="0037343F" w:rsidRPr="00BF60B5" w:rsidRDefault="0037343F" w:rsidP="0037343F">
      <w:pPr>
        <w:spacing w:after="120" w:line="278" w:lineRule="auto"/>
        <w:jc w:val="both"/>
        <w:rPr>
          <w:b/>
          <w:bCs/>
        </w:rPr>
      </w:pPr>
      <w:r w:rsidRPr="00BF60B5">
        <w:rPr>
          <w:b/>
          <w:bCs/>
        </w:rPr>
        <w:t>Regional estimates within Wales</w:t>
      </w:r>
    </w:p>
    <w:p w14:paraId="138BF6A1" w14:textId="77777777" w:rsidR="0037343F" w:rsidRPr="00BF60B5" w:rsidRDefault="0037343F" w:rsidP="0037343F">
      <w:pPr>
        <w:spacing w:after="120" w:line="278" w:lineRule="auto"/>
        <w:jc w:val="both"/>
      </w:pPr>
      <w:r w:rsidRPr="00BF60B5">
        <w:t>Once total workforce capacity is estimated, we provide an indicative regional split within Wales. This uses data that shows how broader 2-digit occupation groups are distributed across local authorities. These are then grouped into four regions: South East Wales, South West Wales, Mid Wales and North Wales.</w:t>
      </w:r>
    </w:p>
    <w:p w14:paraId="7B81284C" w14:textId="0B39FC1D" w:rsidR="0037343F" w:rsidRPr="00BF60B5" w:rsidRDefault="0037343F" w:rsidP="0037343F">
      <w:pPr>
        <w:spacing w:after="120" w:line="278" w:lineRule="auto"/>
        <w:jc w:val="both"/>
      </w:pPr>
      <w:r w:rsidRPr="00BF60B5">
        <w:t>Where local authority data are based on very small samples and are therefore less reliable, this is clearly marked. Detailed occupations are then allocated to regions using the observed regional split of their broader occupation group, providing an indicative rather than definitive picture of regional capacity.</w:t>
      </w:r>
    </w:p>
    <w:p w14:paraId="24F3D316" w14:textId="68B08ECB" w:rsidR="0037343F" w:rsidRPr="00BF60B5" w:rsidRDefault="0037343F" w:rsidP="0037343F">
      <w:pPr>
        <w:spacing w:after="120" w:line="278" w:lineRule="auto"/>
        <w:jc w:val="both"/>
        <w:rPr>
          <w:b/>
          <w:bCs/>
          <w:color w:val="auto"/>
          <w:sz w:val="28"/>
          <w:szCs w:val="28"/>
        </w:rPr>
      </w:pPr>
      <w:r w:rsidRPr="4BD5152B">
        <w:rPr>
          <w:b/>
          <w:bCs/>
          <w:color w:val="auto"/>
          <w:sz w:val="28"/>
          <w:szCs w:val="28"/>
        </w:rPr>
        <w:lastRenderedPageBreak/>
        <w:t>Estimating labour demand</w:t>
      </w:r>
    </w:p>
    <w:p w14:paraId="38F5C6FD" w14:textId="3CB42D0E" w:rsidR="0037343F" w:rsidRPr="00BF60B5" w:rsidRDefault="0037343F" w:rsidP="0037343F">
      <w:pPr>
        <w:spacing w:after="120" w:line="278" w:lineRule="auto"/>
        <w:jc w:val="both"/>
      </w:pPr>
      <w:r w:rsidRPr="00BF60B5">
        <w:t>Once we have estimated how many workers are available, we assess how much labour is needed to upgrade homes across Wales. This involves two questions: how many homes need work, and how much labour is required to carry out that work in line with Wales’s energy efficiency</w:t>
      </w:r>
      <w:r w:rsidR="000E276A">
        <w:t>, fuel poverty</w:t>
      </w:r>
      <w:r w:rsidRPr="00BF60B5">
        <w:t xml:space="preserve"> and decarbonisation goals.</w:t>
      </w:r>
    </w:p>
    <w:p w14:paraId="47DFA323" w14:textId="45887431" w:rsidR="0037343F" w:rsidRPr="00BF60B5" w:rsidRDefault="0037343F" w:rsidP="0037343F">
      <w:pPr>
        <w:spacing w:after="120" w:line="278" w:lineRule="auto"/>
        <w:jc w:val="both"/>
        <w:rPr>
          <w:b/>
          <w:bCs/>
        </w:rPr>
      </w:pPr>
      <w:r w:rsidRPr="00BF60B5">
        <w:rPr>
          <w:b/>
          <w:bCs/>
        </w:rPr>
        <w:t>Identifying which homes need upgrades</w:t>
      </w:r>
    </w:p>
    <w:p w14:paraId="69825DA3" w14:textId="50E798EB" w:rsidR="0037343F" w:rsidRPr="00BF60B5" w:rsidRDefault="0037343F" w:rsidP="0037343F">
      <w:pPr>
        <w:spacing w:after="120" w:line="278" w:lineRule="auto"/>
        <w:jc w:val="both"/>
      </w:pPr>
      <w:r w:rsidRPr="00BF60B5">
        <w:t xml:space="preserve">We use the </w:t>
      </w:r>
      <w:hyperlink r:id="rId23" w:history="1">
        <w:r w:rsidRPr="00BF60B5">
          <w:rPr>
            <w:rStyle w:val="Hyperlink"/>
          </w:rPr>
          <w:t>Welsh Housing Conditions Survey (WHCS) 2017/18</w:t>
        </w:r>
      </w:hyperlink>
      <w:r w:rsidRPr="00BF60B5">
        <w:t xml:space="preserve"> microdata as the foundation for estimating the scale of improvement required across Wales. The dataset provides detailed information on the physical condition, heating systems, and energy-efficiency characteristics of individual dwellings, allowing us to estimate need directly at dwelling level.</w:t>
      </w:r>
    </w:p>
    <w:p w14:paraId="494F33F2" w14:textId="7701161A" w:rsidR="0037343F" w:rsidRPr="00BF60B5" w:rsidRDefault="0037343F" w:rsidP="0037343F">
      <w:pPr>
        <w:spacing w:after="120" w:line="278" w:lineRule="auto"/>
        <w:jc w:val="both"/>
      </w:pPr>
      <w:r w:rsidRPr="00BF60B5">
        <w:t>Using this microdata, we classify whether each dwelling requires an intervention across the following categories:</w:t>
      </w:r>
      <w:r w:rsidRPr="00BF60B5">
        <w:tab/>
      </w:r>
    </w:p>
    <w:p w14:paraId="7E889CCF" w14:textId="77777777" w:rsidR="0037343F" w:rsidRPr="00BF60B5" w:rsidRDefault="0037343F" w:rsidP="0037343F">
      <w:pPr>
        <w:pStyle w:val="ListParagraph"/>
        <w:numPr>
          <w:ilvl w:val="0"/>
          <w:numId w:val="15"/>
        </w:numPr>
        <w:spacing w:after="120" w:line="278" w:lineRule="auto"/>
        <w:jc w:val="both"/>
        <w:rPr>
          <w:b/>
          <w:bCs/>
        </w:rPr>
      </w:pPr>
      <w:r w:rsidRPr="00BF60B5">
        <w:rPr>
          <w:b/>
          <w:bCs/>
        </w:rPr>
        <w:t>Fabric and insulation</w:t>
      </w:r>
    </w:p>
    <w:p w14:paraId="59F49F7E" w14:textId="77777777" w:rsidR="0037343F" w:rsidRPr="00BF60B5" w:rsidRDefault="0037343F" w:rsidP="0037343F">
      <w:pPr>
        <w:pStyle w:val="ListParagraph"/>
        <w:numPr>
          <w:ilvl w:val="1"/>
          <w:numId w:val="16"/>
        </w:numPr>
        <w:spacing w:after="120" w:line="278" w:lineRule="auto"/>
        <w:ind w:left="1418" w:hanging="284"/>
        <w:jc w:val="both"/>
      </w:pPr>
      <w:r w:rsidRPr="00BF60B5">
        <w:t>Homes with uninsulated or partly insulated cavity walls are counted as needing cavity wall insulation (CWI).</w:t>
      </w:r>
    </w:p>
    <w:p w14:paraId="18978D00" w14:textId="77777777" w:rsidR="0037343F" w:rsidRPr="00BF60B5" w:rsidRDefault="0037343F" w:rsidP="0037343F">
      <w:pPr>
        <w:pStyle w:val="ListParagraph"/>
        <w:numPr>
          <w:ilvl w:val="1"/>
          <w:numId w:val="16"/>
        </w:numPr>
        <w:spacing w:after="120" w:line="278" w:lineRule="auto"/>
        <w:ind w:left="1418" w:hanging="284"/>
        <w:jc w:val="both"/>
      </w:pPr>
      <w:r w:rsidRPr="00BF60B5">
        <w:t>Homes with solid walls and no insulation are counted as needing solid wall insulation (SWI).</w:t>
      </w:r>
    </w:p>
    <w:p w14:paraId="090905E1" w14:textId="0C4BCAE0" w:rsidR="0037343F" w:rsidRPr="00BF60B5" w:rsidRDefault="0037343F" w:rsidP="0037343F">
      <w:pPr>
        <w:pStyle w:val="ListParagraph"/>
        <w:spacing w:after="120" w:line="278" w:lineRule="auto"/>
        <w:ind w:left="1418"/>
        <w:jc w:val="both"/>
      </w:pPr>
    </w:p>
    <w:p w14:paraId="3A334A27" w14:textId="77777777" w:rsidR="0037343F" w:rsidRPr="00BF60B5" w:rsidRDefault="0037343F" w:rsidP="0037343F">
      <w:pPr>
        <w:pStyle w:val="ListParagraph"/>
        <w:numPr>
          <w:ilvl w:val="0"/>
          <w:numId w:val="15"/>
        </w:numPr>
        <w:spacing w:after="120" w:line="278" w:lineRule="auto"/>
        <w:jc w:val="both"/>
        <w:rPr>
          <w:b/>
          <w:bCs/>
        </w:rPr>
      </w:pPr>
      <w:r w:rsidRPr="00BF60B5">
        <w:rPr>
          <w:b/>
          <w:bCs/>
        </w:rPr>
        <w:t>Glazing</w:t>
      </w:r>
    </w:p>
    <w:p w14:paraId="5CB08399" w14:textId="0B67CF5F" w:rsidR="0037343F" w:rsidRPr="00BF60B5" w:rsidRDefault="0037343F" w:rsidP="0037343F">
      <w:pPr>
        <w:pStyle w:val="ListParagraph"/>
        <w:numPr>
          <w:ilvl w:val="1"/>
          <w:numId w:val="17"/>
        </w:numPr>
        <w:spacing w:after="120" w:line="278" w:lineRule="auto"/>
        <w:ind w:left="1418" w:hanging="284"/>
        <w:jc w:val="both"/>
      </w:pPr>
      <w:r w:rsidRPr="00BF60B5">
        <w:t>Homes with predominantly single glazing or inadequate glazing are identified as requiring window upgrades.</w:t>
      </w:r>
    </w:p>
    <w:p w14:paraId="7AB55EB8" w14:textId="0ADB9991" w:rsidR="0037343F" w:rsidRPr="00BF60B5" w:rsidRDefault="0037343F" w:rsidP="0037343F">
      <w:pPr>
        <w:pStyle w:val="ListParagraph"/>
        <w:spacing w:after="120" w:line="278" w:lineRule="auto"/>
        <w:ind w:left="1418"/>
        <w:jc w:val="both"/>
      </w:pPr>
    </w:p>
    <w:p w14:paraId="1AFFA664" w14:textId="13D2699D" w:rsidR="0037343F" w:rsidRPr="00BF60B5" w:rsidRDefault="0037343F" w:rsidP="0037343F">
      <w:pPr>
        <w:pStyle w:val="ListParagraph"/>
        <w:numPr>
          <w:ilvl w:val="0"/>
          <w:numId w:val="15"/>
        </w:numPr>
        <w:spacing w:after="120" w:line="278" w:lineRule="auto"/>
        <w:jc w:val="both"/>
        <w:rPr>
          <w:b/>
          <w:bCs/>
        </w:rPr>
      </w:pPr>
      <w:r w:rsidRPr="00BF60B5">
        <w:rPr>
          <w:b/>
          <w:bCs/>
        </w:rPr>
        <w:t>Heating systems</w:t>
      </w:r>
    </w:p>
    <w:p w14:paraId="5C9F1362" w14:textId="3E484702" w:rsidR="0037343F" w:rsidRPr="00BF60B5" w:rsidRDefault="0037343F" w:rsidP="0037343F">
      <w:pPr>
        <w:pStyle w:val="ListParagraph"/>
        <w:numPr>
          <w:ilvl w:val="1"/>
          <w:numId w:val="15"/>
        </w:numPr>
        <w:spacing w:after="120" w:line="278" w:lineRule="auto"/>
        <w:ind w:left="1418" w:hanging="284"/>
        <w:jc w:val="both"/>
      </w:pPr>
      <w:r>
        <w:t xml:space="preserve">We assess how efficient and how carbon intensive each home’s heating system is. For this analysis, any home that does not use </w:t>
      </w:r>
      <w:r w:rsidRPr="00167C62">
        <w:t xml:space="preserve">a </w:t>
      </w:r>
      <w:r w:rsidR="00BB4060" w:rsidRPr="00167C62">
        <w:t xml:space="preserve">low carbon heat source (LCHS) </w:t>
      </w:r>
      <w:r w:rsidRPr="00167C62">
        <w:t>as its main heating system</w:t>
      </w:r>
      <w:r>
        <w:t xml:space="preserve"> is counted as requiring a heating system upgrade to reduce its carbon footprint and improve its energy efficiency.</w:t>
      </w:r>
    </w:p>
    <w:p w14:paraId="5DB77443" w14:textId="483376E5" w:rsidR="0037343F" w:rsidRPr="00BF60B5" w:rsidRDefault="0037343F" w:rsidP="0037343F">
      <w:pPr>
        <w:pStyle w:val="ListParagraph"/>
        <w:numPr>
          <w:ilvl w:val="1"/>
          <w:numId w:val="15"/>
        </w:numPr>
        <w:spacing w:after="120" w:line="278" w:lineRule="auto"/>
        <w:ind w:left="1418" w:hanging="284"/>
        <w:jc w:val="both"/>
      </w:pPr>
      <w:r w:rsidRPr="00BF60B5">
        <w:t>This excludes approximately 10% of the housing stock considered to be unsuitable for heat pump installation but still requiring heating upgrades. It is likely that these homes will have to be retrofit with new higher efficiency electric systems, but with limited data on these systems, heat pumps will be the primary system upgrade under consideration.</w:t>
      </w:r>
    </w:p>
    <w:p w14:paraId="61F40A20" w14:textId="77777777" w:rsidR="0037343F" w:rsidRPr="00BF60B5" w:rsidRDefault="0037343F" w:rsidP="0037343F">
      <w:pPr>
        <w:pStyle w:val="ListParagraph"/>
        <w:spacing w:after="120" w:line="278" w:lineRule="auto"/>
        <w:ind w:left="2160"/>
        <w:jc w:val="both"/>
      </w:pPr>
    </w:p>
    <w:p w14:paraId="6A355B05" w14:textId="0C7EA6F7" w:rsidR="0037343F" w:rsidRPr="00BF60B5" w:rsidRDefault="0037343F" w:rsidP="0037343F">
      <w:pPr>
        <w:pStyle w:val="ListParagraph"/>
        <w:numPr>
          <w:ilvl w:val="0"/>
          <w:numId w:val="15"/>
        </w:numPr>
        <w:spacing w:after="120" w:line="278" w:lineRule="auto"/>
        <w:jc w:val="both"/>
        <w:rPr>
          <w:b/>
          <w:bCs/>
        </w:rPr>
      </w:pPr>
      <w:r w:rsidRPr="00BF60B5">
        <w:rPr>
          <w:b/>
          <w:bCs/>
        </w:rPr>
        <w:t>Damp and ventilation</w:t>
      </w:r>
    </w:p>
    <w:p w14:paraId="1BF1B027" w14:textId="05309031" w:rsidR="0037343F" w:rsidRPr="00BF60B5" w:rsidRDefault="0037343F" w:rsidP="0037343F">
      <w:pPr>
        <w:pStyle w:val="ListParagraph"/>
        <w:numPr>
          <w:ilvl w:val="1"/>
          <w:numId w:val="15"/>
        </w:numPr>
        <w:spacing w:after="120" w:line="278" w:lineRule="auto"/>
        <w:ind w:left="1418" w:hanging="284"/>
        <w:jc w:val="both"/>
        <w:rPr>
          <w:b/>
          <w:bCs/>
        </w:rPr>
      </w:pPr>
      <w:r w:rsidRPr="00BF60B5">
        <w:t>Dwellings showing signs of damp, condensation, penetration or rising damp are classified as requiring ventilation or fabric-related interventions. While the data do not allow us to distinguish between these sub-types, they collectively represent a key component of retrofit demand, and as such will be captured more broadly.</w:t>
      </w:r>
    </w:p>
    <w:p w14:paraId="21FF79C6" w14:textId="77777777" w:rsidR="0037343F" w:rsidRPr="00BF60B5" w:rsidRDefault="0037343F" w:rsidP="0037343F">
      <w:pPr>
        <w:pStyle w:val="ListParagraph"/>
        <w:spacing w:after="120" w:line="278" w:lineRule="auto"/>
        <w:ind w:left="1418"/>
        <w:jc w:val="both"/>
        <w:rPr>
          <w:b/>
          <w:bCs/>
        </w:rPr>
      </w:pPr>
    </w:p>
    <w:p w14:paraId="60EF5DD8" w14:textId="77777777" w:rsidR="0037343F" w:rsidRPr="00BF60B5" w:rsidRDefault="0037343F" w:rsidP="0037343F">
      <w:pPr>
        <w:pStyle w:val="ListParagraph"/>
        <w:numPr>
          <w:ilvl w:val="0"/>
          <w:numId w:val="15"/>
        </w:numPr>
        <w:spacing w:after="120" w:line="278" w:lineRule="auto"/>
        <w:jc w:val="both"/>
        <w:rPr>
          <w:b/>
          <w:bCs/>
        </w:rPr>
      </w:pPr>
      <w:r w:rsidRPr="00BF60B5">
        <w:rPr>
          <w:b/>
          <w:bCs/>
        </w:rPr>
        <w:t>Low-energy lighting</w:t>
      </w:r>
    </w:p>
    <w:p w14:paraId="59F01B28" w14:textId="733B9C32" w:rsidR="0037343F" w:rsidRPr="00BF60B5" w:rsidRDefault="0037343F" w:rsidP="0037343F">
      <w:pPr>
        <w:pStyle w:val="ListParagraph"/>
        <w:numPr>
          <w:ilvl w:val="1"/>
          <w:numId w:val="15"/>
        </w:numPr>
        <w:spacing w:after="120" w:line="278" w:lineRule="auto"/>
        <w:ind w:left="1418" w:hanging="284"/>
        <w:jc w:val="both"/>
      </w:pPr>
      <w:r w:rsidRPr="00BF60B5">
        <w:t>The microdata do not include lighting variables, but WHCS publishes population shares for high-energy lighting. We incorporate these proportions to produce national estimates of lighting upgrade needs.</w:t>
      </w:r>
    </w:p>
    <w:p w14:paraId="6B4EB8C0" w14:textId="5ADFD71D" w:rsidR="0037343F" w:rsidRPr="00BF60B5" w:rsidRDefault="0037343F" w:rsidP="0037343F">
      <w:pPr>
        <w:pStyle w:val="ListParagraph"/>
        <w:spacing w:after="120" w:line="278" w:lineRule="auto"/>
        <w:ind w:left="1418"/>
        <w:jc w:val="both"/>
      </w:pPr>
    </w:p>
    <w:p w14:paraId="46129B2E" w14:textId="77777777" w:rsidR="0037343F" w:rsidRPr="00BF60B5" w:rsidRDefault="0037343F" w:rsidP="0037343F">
      <w:pPr>
        <w:pStyle w:val="ListParagraph"/>
        <w:numPr>
          <w:ilvl w:val="0"/>
          <w:numId w:val="15"/>
        </w:numPr>
        <w:spacing w:after="120" w:line="278" w:lineRule="auto"/>
        <w:jc w:val="both"/>
        <w:rPr>
          <w:b/>
          <w:bCs/>
        </w:rPr>
      </w:pPr>
      <w:r w:rsidRPr="00BF60B5">
        <w:rPr>
          <w:b/>
          <w:bCs/>
        </w:rPr>
        <w:t>Loft insulation</w:t>
      </w:r>
    </w:p>
    <w:p w14:paraId="52D8103F" w14:textId="5932490C" w:rsidR="0037343F" w:rsidRPr="00BF60B5" w:rsidRDefault="0037343F" w:rsidP="0037343F">
      <w:pPr>
        <w:pStyle w:val="ListParagraph"/>
        <w:numPr>
          <w:ilvl w:val="1"/>
          <w:numId w:val="15"/>
        </w:numPr>
        <w:spacing w:after="120" w:line="278" w:lineRule="auto"/>
        <w:ind w:left="1418" w:hanging="284"/>
        <w:jc w:val="both"/>
      </w:pPr>
      <w:r w:rsidRPr="00BF60B5">
        <w:t>Although loft insulation is not captured at dwelling level in the microdata, WHCS summary statistics provide reliable proportions. We therefore estimate loft-insulation needs using published figures, including the share of dwellings below the commonly referenced 200 mm retrofit threshold.</w:t>
      </w:r>
    </w:p>
    <w:p w14:paraId="45F4273D" w14:textId="77777777" w:rsidR="0037343F" w:rsidRPr="00BF60B5" w:rsidRDefault="0037343F" w:rsidP="0037343F">
      <w:pPr>
        <w:spacing w:after="120" w:line="278" w:lineRule="auto"/>
        <w:jc w:val="both"/>
        <w:rPr>
          <w:b/>
          <w:bCs/>
        </w:rPr>
      </w:pPr>
      <w:r w:rsidRPr="00BF60B5">
        <w:rPr>
          <w:b/>
          <w:bCs/>
        </w:rPr>
        <w:t>Scaling results to the Welsh housing stock</w:t>
      </w:r>
    </w:p>
    <w:p w14:paraId="42922DA5" w14:textId="101E33E9" w:rsidR="0037343F" w:rsidRPr="00BF60B5" w:rsidRDefault="0037343F" w:rsidP="0037343F">
      <w:pPr>
        <w:spacing w:after="120" w:line="278" w:lineRule="auto"/>
        <w:jc w:val="both"/>
      </w:pPr>
      <w:r w:rsidRPr="00BF60B5">
        <w:t>Once individual retrofit needs have been identified, we group dwellings to ensure that the resulting estimates reflect the structure of the populated Welsh housing stock rather than unweighted survey counts. All WHCS microdata are scaled using the survey calibration weights, which adjust for sampling design to ensure that each observation represents the correct number of populated dwellings in the national population. Accordingly, for each intervention, we aggregate dwellings into an overall figure and across broad categories such as dwelling age, EPC band, and urban/rural classification. The latter groupings allow us to examine how retrofit needs concentrate across different types of homes and to internally validate that modelled patterns align with known characteristics of the Welsh housing stock.</w:t>
      </w:r>
    </w:p>
    <w:p w14:paraId="7CEDEEA6" w14:textId="77777777" w:rsidR="0037343F" w:rsidRPr="00BF60B5" w:rsidRDefault="0037343F" w:rsidP="0037343F">
      <w:pPr>
        <w:spacing w:after="120" w:line="278" w:lineRule="auto"/>
        <w:jc w:val="both"/>
        <w:rPr>
          <w:b/>
          <w:bCs/>
        </w:rPr>
      </w:pPr>
      <w:r w:rsidRPr="00BF60B5">
        <w:rPr>
          <w:b/>
          <w:bCs/>
        </w:rPr>
        <w:t>Updating the survey to reflect today’s position</w:t>
      </w:r>
    </w:p>
    <w:p w14:paraId="4EE96318" w14:textId="73C88B80" w:rsidR="0037343F" w:rsidRPr="00BF60B5" w:rsidRDefault="0037343F" w:rsidP="0037343F">
      <w:pPr>
        <w:spacing w:after="120" w:line="278" w:lineRule="auto"/>
        <w:jc w:val="both"/>
      </w:pPr>
      <w:r w:rsidRPr="00BF60B5">
        <w:t xml:space="preserve">As part of this analysis, we acknowledge the vintage of the WHCS more broadly. However, the 2017/18 survey is the most recent edition of the WHCS, and the next release will not be available until 2028. This means that the data do not account for the pace of home retrofit between March 2018 and now. To nowcast current needs, we employ the following estimation process. </w:t>
      </w:r>
    </w:p>
    <w:p w14:paraId="6A8B753F" w14:textId="00E7CB7E" w:rsidR="0037343F" w:rsidRPr="00BF60B5" w:rsidRDefault="0037343F" w:rsidP="0037343F">
      <w:pPr>
        <w:spacing w:after="120" w:line="278" w:lineRule="auto"/>
        <w:jc w:val="both"/>
      </w:pPr>
      <w:r w:rsidRPr="00BF60B5">
        <w:t>Around 148,000 homes are expected to have received some form of retrofit by 2025. This includes around 27,000 homes supported through the Optimised Retrofit Programme, accounting for a quicker pace of retrofit measures from the beginning of the 2020/21 fiscal year. To ensure our baseline reflects present-day conditions, we adjust the microdata estimates to incorporate this level of completed activity. Where possible, we utilise installation data provided by the Welsh Government, as well as external sources such as the MCS Data Dashboard and Department for Energy Security and Net Zero (DESNZ).</w:t>
      </w:r>
    </w:p>
    <w:p w14:paraId="031DD073" w14:textId="77777777" w:rsidR="0037343F" w:rsidRPr="00BF60B5" w:rsidRDefault="0037343F" w:rsidP="0037343F">
      <w:pPr>
        <w:spacing w:after="120" w:line="278" w:lineRule="auto"/>
        <w:jc w:val="both"/>
      </w:pPr>
      <w:r w:rsidRPr="00BF60B5">
        <w:t>Where detailed data are not available, we use proportional methods to distribute completed work across different types of measures, based on the pattern of need identified in the survey. These adjusted estimates were checked against measures where installation data do exist and were found to be broadly consistent, reinforcing credibility to the nowcasting process</w:t>
      </w:r>
      <w:r>
        <w:t xml:space="preserve">. </w:t>
      </w:r>
    </w:p>
    <w:p w14:paraId="29D28819" w14:textId="66B0A770" w:rsidR="0037343F" w:rsidRPr="00BF60B5" w:rsidRDefault="0037343F" w:rsidP="0037343F">
      <w:pPr>
        <w:spacing w:after="120" w:line="278" w:lineRule="auto"/>
        <w:jc w:val="both"/>
        <w:rPr>
          <w:b/>
          <w:bCs/>
        </w:rPr>
      </w:pPr>
      <w:r w:rsidRPr="00BF60B5">
        <w:rPr>
          <w:b/>
          <w:bCs/>
        </w:rPr>
        <w:t>Converting upgrade needs into labour demand</w:t>
      </w:r>
    </w:p>
    <w:p w14:paraId="0CBBE308" w14:textId="2D8ABC9B" w:rsidR="0037343F" w:rsidRPr="00BF60B5" w:rsidRDefault="0037343F" w:rsidP="0037343F">
      <w:pPr>
        <w:spacing w:after="120" w:line="278" w:lineRule="auto"/>
        <w:jc w:val="both"/>
      </w:pPr>
      <w:r w:rsidRPr="00BF60B5">
        <w:t xml:space="preserve">Labour demand is then derived by forecasting the demand for home retrofitting each year. The assumptions for these forecasts correspond to the scenarios outlined later in the methodology, producing a base, </w:t>
      </w:r>
      <w:r w:rsidR="00941D15">
        <w:t>high retrofit demand</w:t>
      </w:r>
      <w:r w:rsidRPr="00BF60B5">
        <w:t xml:space="preserve"> and </w:t>
      </w:r>
      <w:r w:rsidR="00941D15">
        <w:t>low retrofit demand</w:t>
      </w:r>
      <w:r w:rsidRPr="00BF60B5">
        <w:t xml:space="preserve"> scenario for home retrofit demand. These are apportioned using the splits from the 2017/18 WHCS microdata to generate detailed estimates for intervention demand. </w:t>
      </w:r>
    </w:p>
    <w:p w14:paraId="1F015A03" w14:textId="77777777" w:rsidR="0037343F" w:rsidRPr="00BF60B5" w:rsidRDefault="0037343F" w:rsidP="0037343F">
      <w:pPr>
        <w:spacing w:after="120" w:line="278" w:lineRule="auto"/>
        <w:jc w:val="both"/>
      </w:pPr>
      <w:r w:rsidRPr="00BF60B5">
        <w:t>Once intervention needs have been calculated, we convert them into labour demand using labour-hour benchmarks. For each intervention type, we combine:</w:t>
      </w:r>
    </w:p>
    <w:p w14:paraId="11E6F019" w14:textId="5B235C65" w:rsidR="0037343F" w:rsidRPr="00BF60B5" w:rsidRDefault="0037343F" w:rsidP="0037343F">
      <w:pPr>
        <w:pStyle w:val="ListParagraph"/>
        <w:numPr>
          <w:ilvl w:val="0"/>
          <w:numId w:val="18"/>
        </w:numPr>
        <w:spacing w:after="120" w:line="278" w:lineRule="auto"/>
        <w:jc w:val="both"/>
      </w:pPr>
      <w:r w:rsidRPr="00BF60B5">
        <w:t>typical labour hours per dwelling,</w:t>
      </w:r>
    </w:p>
    <w:p w14:paraId="63959BBD" w14:textId="170C79F1" w:rsidR="0037343F" w:rsidRPr="00BF60B5" w:rsidRDefault="0037343F" w:rsidP="0037343F">
      <w:pPr>
        <w:pStyle w:val="ListParagraph"/>
        <w:numPr>
          <w:ilvl w:val="0"/>
          <w:numId w:val="18"/>
        </w:numPr>
        <w:spacing w:after="120" w:line="278" w:lineRule="auto"/>
        <w:jc w:val="both"/>
      </w:pPr>
      <w:r w:rsidRPr="00BF60B5">
        <w:lastRenderedPageBreak/>
        <w:t>how these labour hours are distributed across broad occupational groups (e.g., installer, technician, supervisor)</w:t>
      </w:r>
    </w:p>
    <w:p w14:paraId="7D848563" w14:textId="77777777" w:rsidR="0037343F" w:rsidRPr="00BF60B5" w:rsidRDefault="0037343F" w:rsidP="0037343F">
      <w:pPr>
        <w:pStyle w:val="ListParagraph"/>
        <w:numPr>
          <w:ilvl w:val="0"/>
          <w:numId w:val="18"/>
        </w:numPr>
        <w:spacing w:after="120" w:line="278" w:lineRule="auto"/>
        <w:jc w:val="both"/>
      </w:pPr>
      <w:r w:rsidRPr="00BF60B5">
        <w:t>what approximate proportion of time is spent on home retrofit for these occupational groups, and</w:t>
      </w:r>
    </w:p>
    <w:p w14:paraId="5FFE1E19" w14:textId="77777777" w:rsidR="0037343F" w:rsidRPr="00BF60B5" w:rsidRDefault="0037343F" w:rsidP="0037343F">
      <w:pPr>
        <w:pStyle w:val="ListParagraph"/>
        <w:numPr>
          <w:ilvl w:val="0"/>
          <w:numId w:val="18"/>
        </w:numPr>
        <w:spacing w:after="120" w:line="278" w:lineRule="auto"/>
        <w:jc w:val="both"/>
      </w:pPr>
      <w:r w:rsidRPr="00BF60B5">
        <w:t>any common delays or on-side constraints that affect the effective time required.</w:t>
      </w:r>
    </w:p>
    <w:p w14:paraId="32D59E18" w14:textId="55421765" w:rsidR="0037343F" w:rsidRPr="00BF60B5" w:rsidRDefault="0037343F" w:rsidP="0037343F">
      <w:pPr>
        <w:spacing w:after="120" w:line="278" w:lineRule="auto"/>
        <w:jc w:val="both"/>
      </w:pPr>
      <w:r w:rsidRPr="00BF60B5">
        <w:t xml:space="preserve">These benchmarks were retrieved via engagement with relevant industry bodies, facilitated by the Welsh Government. </w:t>
      </w:r>
    </w:p>
    <w:p w14:paraId="481EBF9B" w14:textId="77777777" w:rsidR="0037343F" w:rsidRPr="00BF60B5" w:rsidRDefault="0037343F" w:rsidP="0037343F">
      <w:pPr>
        <w:spacing w:after="120" w:line="278" w:lineRule="auto"/>
        <w:jc w:val="both"/>
        <w:rPr>
          <w:b/>
          <w:bCs/>
          <w:color w:val="auto"/>
          <w:sz w:val="28"/>
          <w:szCs w:val="28"/>
        </w:rPr>
      </w:pPr>
      <w:r w:rsidRPr="00BF60B5">
        <w:rPr>
          <w:b/>
          <w:bCs/>
          <w:color w:val="auto"/>
          <w:sz w:val="28"/>
          <w:szCs w:val="28"/>
        </w:rPr>
        <w:t>Modelling labour supply</w:t>
      </w:r>
    </w:p>
    <w:p w14:paraId="5EA982AF" w14:textId="143C97A7" w:rsidR="0037343F" w:rsidRPr="00BF60B5" w:rsidRDefault="0037343F" w:rsidP="0037343F">
      <w:pPr>
        <w:spacing w:after="120" w:line="278" w:lineRule="auto"/>
        <w:jc w:val="both"/>
      </w:pPr>
      <w:r w:rsidRPr="00BF60B5">
        <w:t xml:space="preserve">The labour supply model projects the available stock of retrofit-relevant labour in Wales over the forecast horizon. It combines </w:t>
      </w:r>
      <w:r w:rsidR="007D3EAC">
        <w:t xml:space="preserve">four </w:t>
      </w:r>
      <w:r w:rsidRPr="00BF60B5">
        <w:t>supply-side components:</w:t>
      </w:r>
    </w:p>
    <w:p w14:paraId="28076A90" w14:textId="77777777" w:rsidR="0037343F" w:rsidRPr="00BF60B5" w:rsidRDefault="0037343F" w:rsidP="0037343F">
      <w:pPr>
        <w:pStyle w:val="ListParagraph"/>
        <w:numPr>
          <w:ilvl w:val="0"/>
          <w:numId w:val="19"/>
        </w:numPr>
        <w:spacing w:after="120" w:line="278" w:lineRule="auto"/>
        <w:jc w:val="both"/>
      </w:pPr>
      <w:r w:rsidRPr="00BF60B5">
        <w:t>cross-border out-commuting,</w:t>
      </w:r>
    </w:p>
    <w:p w14:paraId="3F8FDADF" w14:textId="77777777" w:rsidR="0037343F" w:rsidRPr="00BF60B5" w:rsidRDefault="0037343F" w:rsidP="0037343F">
      <w:pPr>
        <w:pStyle w:val="ListParagraph"/>
        <w:numPr>
          <w:ilvl w:val="0"/>
          <w:numId w:val="19"/>
        </w:numPr>
        <w:spacing w:after="120" w:line="278" w:lineRule="auto"/>
        <w:jc w:val="both"/>
      </w:pPr>
      <w:r w:rsidRPr="00BF60B5">
        <w:t>new training and apprenticeship completions, and</w:t>
      </w:r>
    </w:p>
    <w:p w14:paraId="0CCC7E92" w14:textId="53479FD0" w:rsidR="0037343F" w:rsidRDefault="0037343F" w:rsidP="0037343F">
      <w:pPr>
        <w:pStyle w:val="ListParagraph"/>
        <w:numPr>
          <w:ilvl w:val="0"/>
          <w:numId w:val="19"/>
        </w:numPr>
        <w:spacing w:after="120" w:line="278" w:lineRule="auto"/>
        <w:jc w:val="both"/>
      </w:pPr>
      <w:r w:rsidRPr="00BF60B5">
        <w:t>replacement demand from retirements and other labour exit</w:t>
      </w:r>
    </w:p>
    <w:p w14:paraId="6E0025BE" w14:textId="48E010BD" w:rsidR="007D3EAC" w:rsidRPr="00BF60B5" w:rsidRDefault="007D3EAC" w:rsidP="0037343F">
      <w:pPr>
        <w:pStyle w:val="ListParagraph"/>
        <w:numPr>
          <w:ilvl w:val="0"/>
          <w:numId w:val="19"/>
        </w:numPr>
        <w:spacing w:after="120" w:line="278" w:lineRule="auto"/>
        <w:jc w:val="both"/>
      </w:pPr>
      <w:r>
        <w:t>redeployment potential</w:t>
      </w:r>
    </w:p>
    <w:p w14:paraId="1C206D8D" w14:textId="041CAC06" w:rsidR="0037343F" w:rsidRPr="00BF60B5" w:rsidRDefault="0037343F" w:rsidP="0037343F">
      <w:pPr>
        <w:spacing w:after="120" w:line="278" w:lineRule="auto"/>
        <w:jc w:val="both"/>
      </w:pPr>
      <w:r w:rsidRPr="00BF60B5">
        <w:t>This, in turn, provides a structured way to estimate how workforce availability evolves under different policy and market scenarios. The methods used for each component are outlined in detail below:</w:t>
      </w:r>
    </w:p>
    <w:p w14:paraId="23176AC7" w14:textId="77777777" w:rsidR="0037343F" w:rsidRPr="00BF60B5" w:rsidRDefault="0037343F" w:rsidP="0037343F">
      <w:pPr>
        <w:spacing w:after="120" w:line="278" w:lineRule="auto"/>
        <w:jc w:val="both"/>
        <w:rPr>
          <w:b/>
          <w:bCs/>
        </w:rPr>
      </w:pPr>
      <w:r w:rsidRPr="00BF60B5">
        <w:rPr>
          <w:b/>
          <w:bCs/>
        </w:rPr>
        <w:t>Out-commuting and labour market pull</w:t>
      </w:r>
    </w:p>
    <w:p w14:paraId="546822BE" w14:textId="36D54762" w:rsidR="0037343F" w:rsidRPr="00BF60B5" w:rsidRDefault="0037343F" w:rsidP="0037343F">
      <w:pPr>
        <w:spacing w:after="120" w:line="278" w:lineRule="auto"/>
        <w:jc w:val="both"/>
      </w:pPr>
      <w:r w:rsidRPr="00BF60B5">
        <w:t>A significant number of people who live in Wales travel to England for work. In 2024, this amounted to around 80,000 Welsh residents. This pattern matters for retrofit delivery because it reduces the number of skilled workers who are actually available to work on homes in Wales, even though they live there.</w:t>
      </w:r>
    </w:p>
    <w:p w14:paraId="1D3367EA" w14:textId="77777777" w:rsidR="000D19E4" w:rsidRDefault="0037343F" w:rsidP="0037343F">
      <w:pPr>
        <w:spacing w:after="120" w:line="278" w:lineRule="auto"/>
        <w:jc w:val="both"/>
      </w:pPr>
      <w:r w:rsidRPr="00BF60B5">
        <w:t>As retrofit demand grows, competition for skilled trades will increase. Labour supply in Wales will therefore depend not only on training and retention, but also on how attractive work in England is by comparison. Indeed, earlier evidence from the Census 2001 shows that the construction industry had a net outflow of workers from Wales to England</w:t>
      </w:r>
      <w:r w:rsidRPr="00BF60B5">
        <w:rPr>
          <w:b/>
          <w:bCs/>
        </w:rPr>
        <w:t xml:space="preserve">, </w:t>
      </w:r>
      <w:r w:rsidRPr="00BF60B5">
        <w:t xml:space="preserve">a phenomenon that can affect the supply of construction-related roles that are central to retrofit. </w:t>
      </w:r>
    </w:p>
    <w:p w14:paraId="1F4DC458" w14:textId="3F7AE8B4" w:rsidR="007E1CFE" w:rsidRDefault="007E1CFE" w:rsidP="0037343F">
      <w:pPr>
        <w:spacing w:after="120" w:line="278" w:lineRule="auto"/>
        <w:jc w:val="both"/>
      </w:pPr>
      <w:r>
        <w:t xml:space="preserve">Because official data on construction-specific out-commuting flows have not been routinely published beyond Census 2001, we draw on a derived construction share based on Census 2021 origin–destination workplace data, segmented by industry and region of work, to provide an updated view of cross-border commuting patterns. We acknowledge that Census 2021 was conducted during the Covid-19 pandemic, when commuting behaviours were atypical. However, in the absence of more recent industry-level out-commuting statistics, it provides the best available contemporary snapshot of sectoral commuting patterns. The resulting construction share is assumed to remain broadly stable over time and is applied to projected total out-commuting flows to estimate construction-specific labour leakage. </w:t>
      </w:r>
    </w:p>
    <w:p w14:paraId="213F0031" w14:textId="02DF2548" w:rsidR="0037343F" w:rsidRPr="00BF60B5" w:rsidRDefault="0037343F" w:rsidP="0037343F">
      <w:pPr>
        <w:spacing w:after="120" w:line="278" w:lineRule="auto"/>
        <w:jc w:val="both"/>
      </w:pPr>
      <w:r w:rsidRPr="00BF60B5">
        <w:t xml:space="preserve">For this analysis, cross-border working is treated as a leakage that lowers the effective retrofit workforce. If retrofit or construction activity grows faster in England, this pull is likely to intensify, particularly near the border. Moreover, our existing workforce capacity estimates are derived on a residency basis, meaning that the retrofit-relevant workforce identified in Section 1 includes individuals who live in Wales but work outside of Wales. We therefore adjust for </w:t>
      </w:r>
      <w:r w:rsidRPr="00BF60B5">
        <w:lastRenderedPageBreak/>
        <w:t>observed and expected cross-border working to define the workforce that is realistically available to deliver retrofit in Wales.</w:t>
      </w:r>
    </w:p>
    <w:p w14:paraId="08F71373" w14:textId="77777777" w:rsidR="0037343F" w:rsidRPr="00BF60B5" w:rsidRDefault="0037343F" w:rsidP="0037343F">
      <w:pPr>
        <w:spacing w:after="120" w:line="278" w:lineRule="auto"/>
        <w:jc w:val="both"/>
      </w:pPr>
      <w:r w:rsidRPr="00BF60B5">
        <w:t>Considering this, we estimate an elasticity between Welsh out-commuting and relative economic activity in England and Wales. A panel regression is applied to a dataset of Welsh local authorities (2004 to 2019), combining:</w:t>
      </w:r>
    </w:p>
    <w:p w14:paraId="09B1C65F" w14:textId="77777777" w:rsidR="0037343F" w:rsidRPr="00BF60B5" w:rsidRDefault="0037343F" w:rsidP="0037343F">
      <w:pPr>
        <w:pStyle w:val="ListParagraph"/>
        <w:numPr>
          <w:ilvl w:val="0"/>
          <w:numId w:val="20"/>
        </w:numPr>
        <w:spacing w:after="120" w:line="278" w:lineRule="auto"/>
        <w:jc w:val="both"/>
      </w:pPr>
      <w:r w:rsidRPr="00BF60B5">
        <w:t>out-commuting rates by local authority;</w:t>
      </w:r>
    </w:p>
    <w:p w14:paraId="0413E8B5" w14:textId="77777777" w:rsidR="0037343F" w:rsidRPr="00BF60B5" w:rsidRDefault="0037343F" w:rsidP="0037343F">
      <w:pPr>
        <w:pStyle w:val="ListParagraph"/>
        <w:numPr>
          <w:ilvl w:val="0"/>
          <w:numId w:val="20"/>
        </w:numPr>
        <w:spacing w:after="120" w:line="278" w:lineRule="auto"/>
        <w:jc w:val="both"/>
      </w:pPr>
      <w:r w:rsidRPr="00BF60B5">
        <w:t>England-to-Wales economic activity differentials; and</w:t>
      </w:r>
    </w:p>
    <w:p w14:paraId="0AD31218" w14:textId="77777777" w:rsidR="0037343F" w:rsidRPr="00BF60B5" w:rsidRDefault="0037343F" w:rsidP="0037343F">
      <w:pPr>
        <w:pStyle w:val="ListParagraph"/>
        <w:numPr>
          <w:ilvl w:val="0"/>
          <w:numId w:val="20"/>
        </w:numPr>
        <w:spacing w:after="120" w:line="278" w:lineRule="auto"/>
        <w:jc w:val="both"/>
      </w:pPr>
      <w:r w:rsidRPr="00BF60B5">
        <w:t>local construction employment shares;</w:t>
      </w:r>
    </w:p>
    <w:p w14:paraId="5E69C7E2" w14:textId="4AF7F0EA" w:rsidR="0037343F" w:rsidRPr="00BF60B5" w:rsidRDefault="0037343F" w:rsidP="0037343F">
      <w:pPr>
        <w:spacing w:after="120" w:line="278" w:lineRule="auto"/>
        <w:jc w:val="both"/>
      </w:pPr>
      <w:r w:rsidRPr="00BF60B5">
        <w:t>The model controls for time-invariant characteristics such as geography, proximity to English labour markets and commuting infrastructure. We also exclude observations after 2019 to avoid the distortions introduced by the Covid-19 shock and associated data suppression in the direct period following the pandemic.</w:t>
      </w:r>
    </w:p>
    <w:p w14:paraId="1B26068A" w14:textId="07F371AA" w:rsidR="0037343F" w:rsidRPr="00BF60B5" w:rsidRDefault="0037343F" w:rsidP="0037343F">
      <w:pPr>
        <w:spacing w:after="120" w:line="278" w:lineRule="auto"/>
        <w:jc w:val="both"/>
      </w:pPr>
      <w:r w:rsidRPr="00BF60B5">
        <w:t xml:space="preserve">We apply the estimated relationship to forecast future cross-border commuting using </w:t>
      </w:r>
      <w:proofErr w:type="spellStart"/>
      <w:r w:rsidRPr="00BF60B5">
        <w:t>Cebr’s</w:t>
      </w:r>
      <w:proofErr w:type="spellEnd"/>
      <w:r w:rsidRPr="00BF60B5">
        <w:t xml:space="preserve"> projections for economic activity in England and Wales. To estimate leakage out of construction specifically, the model allocates a constant share of total out-commuters to the construction sector.</w:t>
      </w:r>
    </w:p>
    <w:p w14:paraId="1CD5A304" w14:textId="77777777" w:rsidR="0037343F" w:rsidRPr="00BF60B5" w:rsidRDefault="0037343F" w:rsidP="0037343F">
      <w:pPr>
        <w:spacing w:after="120" w:line="278" w:lineRule="auto"/>
        <w:jc w:val="both"/>
      </w:pPr>
      <w:r w:rsidRPr="00BF60B5">
        <w:t>To focus on retrofit roles, this construction outflow is scaled using the share of construction jobs that are relevant to retrofit, identified earlier in the analysis. This ensures the adjustment reflects both wider economic pressures and the specific make-up of the retrofit workforce.</w:t>
      </w:r>
    </w:p>
    <w:p w14:paraId="4ADBA3D9" w14:textId="77777777" w:rsidR="0037343F" w:rsidRPr="00BF60B5" w:rsidRDefault="0037343F" w:rsidP="0037343F">
      <w:pPr>
        <w:spacing w:after="120" w:line="278" w:lineRule="auto"/>
        <w:jc w:val="both"/>
      </w:pPr>
      <w:r w:rsidRPr="00BF60B5">
        <w:t>We also test how sensitive the results are by estimating a reasonable upper and lower range around the central elasticity result. This shows how much the findings could vary under different conditions. Based on this range, we define three possible paths for cross-border working:</w:t>
      </w:r>
    </w:p>
    <w:p w14:paraId="67299C0A" w14:textId="701A57B4" w:rsidR="0037343F" w:rsidRPr="00BF60B5" w:rsidRDefault="0037343F" w:rsidP="0037343F">
      <w:pPr>
        <w:pStyle w:val="ListParagraph"/>
        <w:numPr>
          <w:ilvl w:val="0"/>
          <w:numId w:val="27"/>
        </w:numPr>
        <w:spacing w:after="120" w:line="278" w:lineRule="auto"/>
        <w:jc w:val="both"/>
      </w:pPr>
      <w:r w:rsidRPr="00BF60B5">
        <w:t>out-commuting continues broadly in line with past trends (</w:t>
      </w:r>
      <w:r w:rsidRPr="00BF60B5">
        <w:rPr>
          <w:b/>
          <w:bCs/>
        </w:rPr>
        <w:t>historic trend</w:t>
      </w:r>
      <w:r w:rsidRPr="00BF60B5">
        <w:t xml:space="preserve"> out-commuting);</w:t>
      </w:r>
    </w:p>
    <w:p w14:paraId="42540E2A" w14:textId="77777777" w:rsidR="0037343F" w:rsidRPr="00BF60B5" w:rsidRDefault="0037343F" w:rsidP="0037343F">
      <w:pPr>
        <w:pStyle w:val="ListParagraph"/>
        <w:numPr>
          <w:ilvl w:val="0"/>
          <w:numId w:val="27"/>
        </w:numPr>
        <w:spacing w:after="120" w:line="278" w:lineRule="auto"/>
        <w:jc w:val="both"/>
      </w:pPr>
      <w:r w:rsidRPr="00BF60B5">
        <w:t>out-commuting is lower than expected (</w:t>
      </w:r>
      <w:r w:rsidRPr="00BF60B5">
        <w:rPr>
          <w:b/>
          <w:bCs/>
        </w:rPr>
        <w:t>low</w:t>
      </w:r>
      <w:r w:rsidRPr="00BF60B5">
        <w:t xml:space="preserve"> out-commuting); and</w:t>
      </w:r>
    </w:p>
    <w:p w14:paraId="2DB035A1" w14:textId="77777777" w:rsidR="0037343F" w:rsidRPr="00BF60B5" w:rsidRDefault="0037343F" w:rsidP="0037343F">
      <w:pPr>
        <w:pStyle w:val="ListParagraph"/>
        <w:numPr>
          <w:ilvl w:val="0"/>
          <w:numId w:val="27"/>
        </w:numPr>
        <w:spacing w:after="120" w:line="278" w:lineRule="auto"/>
        <w:jc w:val="both"/>
      </w:pPr>
      <w:r w:rsidRPr="00BF60B5">
        <w:t>out-commuting is higher than expected (</w:t>
      </w:r>
      <w:r w:rsidRPr="00BF60B5">
        <w:rPr>
          <w:b/>
          <w:bCs/>
        </w:rPr>
        <w:t>elevated</w:t>
      </w:r>
      <w:r w:rsidRPr="00BF60B5">
        <w:t xml:space="preserve"> out-commuting)</w:t>
      </w:r>
    </w:p>
    <w:p w14:paraId="5C062931" w14:textId="70B6D51A" w:rsidR="0037343F" w:rsidRPr="00BF60B5" w:rsidRDefault="0037343F" w:rsidP="0037343F">
      <w:pPr>
        <w:spacing w:after="120" w:line="278" w:lineRule="auto"/>
        <w:jc w:val="both"/>
      </w:pPr>
      <w:r w:rsidRPr="00BF60B5">
        <w:t>Further technical detail on the modelling approach is provided in the Appendix.</w:t>
      </w:r>
    </w:p>
    <w:p w14:paraId="7367367B" w14:textId="50C86DCD" w:rsidR="0037343F" w:rsidRPr="00BF60B5" w:rsidRDefault="0037343F" w:rsidP="0037343F">
      <w:pPr>
        <w:spacing w:after="120" w:line="278" w:lineRule="auto"/>
        <w:jc w:val="both"/>
        <w:rPr>
          <w:b/>
          <w:bCs/>
        </w:rPr>
      </w:pPr>
      <w:r w:rsidRPr="00BF60B5">
        <w:rPr>
          <w:b/>
          <w:bCs/>
        </w:rPr>
        <w:t>Apprenticeships and training pathways</w:t>
      </w:r>
    </w:p>
    <w:p w14:paraId="59A20C49" w14:textId="6A92A7B2" w:rsidR="0037343F" w:rsidRPr="00BF60B5" w:rsidRDefault="0037343F" w:rsidP="0037343F">
      <w:pPr>
        <w:spacing w:after="120" w:line="278" w:lineRule="auto"/>
        <w:jc w:val="both"/>
      </w:pPr>
      <w:r w:rsidRPr="00BF60B5">
        <w:t xml:space="preserve">Apprenticeships represent the principal entry route into many retrofit-relevant occupations, including electrical installation, plumbing, heating engineering, </w:t>
      </w:r>
      <w:r w:rsidR="001E4200">
        <w:t xml:space="preserve">and </w:t>
      </w:r>
      <w:r w:rsidRPr="00BF60B5">
        <w:t xml:space="preserve">support and supervisory roles. The scale and timing of apprenticeship completions therefore determine the annual inflow of ‘labour-ready’ workers into the potential retrofit workforce. Historic apprenticeship starts are the foundation for estimating these inflows because they are reported by specific qualification pathways, allowing the analysis to isolate programmes that map directly onto retrofit-relevant occupations. </w:t>
      </w:r>
    </w:p>
    <w:p w14:paraId="38BE333F" w14:textId="77777777" w:rsidR="0037343F" w:rsidRPr="00BF60B5" w:rsidRDefault="0037343F" w:rsidP="0037343F">
      <w:pPr>
        <w:spacing w:after="120" w:line="278" w:lineRule="auto"/>
        <w:jc w:val="both"/>
      </w:pPr>
      <w:r w:rsidRPr="00BF60B5">
        <w:t>The modelling focuses on Level 3 and Level 4+ apprenticeships, which reflect the qualification levels typically required for independent practice under the PAS 2035 framework. Level 2 pathways are excluded because they provide foundational skills only and require further supervised progression before a worker can operate independently. As such, including them would overstate the effective labour supply.</w:t>
      </w:r>
    </w:p>
    <w:p w14:paraId="73C0D2D9" w14:textId="183F1616" w:rsidR="0037343F" w:rsidRPr="00BF60B5" w:rsidRDefault="0037343F" w:rsidP="0037343F">
      <w:pPr>
        <w:spacing w:after="120" w:line="278" w:lineRule="auto"/>
        <w:jc w:val="both"/>
      </w:pPr>
      <w:r w:rsidRPr="00BF60B5">
        <w:lastRenderedPageBreak/>
        <w:t xml:space="preserve">To estimate near-term apprenticeship starts, we link changes in apprenticeship funding to changes in the number of people starting training. We draw on Welsh Government budget information and published apprenticeship start data from </w:t>
      </w:r>
      <w:proofErr w:type="spellStart"/>
      <w:r w:rsidRPr="00BF60B5">
        <w:t>StatsWales</w:t>
      </w:r>
      <w:proofErr w:type="spellEnd"/>
      <w:r w:rsidRPr="00BF60B5">
        <w:t xml:space="preserve"> covering 2014/15 through to 2023/24.</w:t>
      </w:r>
    </w:p>
    <w:p w14:paraId="4765BC4D" w14:textId="77777777" w:rsidR="0037343F" w:rsidRPr="00BF60B5" w:rsidRDefault="0037343F" w:rsidP="0037343F">
      <w:pPr>
        <w:spacing w:after="120" w:line="278" w:lineRule="auto"/>
        <w:jc w:val="both"/>
      </w:pPr>
      <w:r w:rsidRPr="00BF60B5">
        <w:t>We include only apprenticeship routes that clearly support retrofit delivery. Some relevant programmes, such as higher-level construction management apprenticeships, could not be included because the available data were too limited to support reliable estimates. In total, five pathways met both conditions of clear retrofit relevance and sufficient historical data, and these form the basis of our apprenticeship supply analysis.</w:t>
      </w:r>
    </w:p>
    <w:p w14:paraId="24F5BE5A" w14:textId="3B48AAF5" w:rsidR="0037343F" w:rsidRPr="00BF60B5" w:rsidRDefault="0037343F" w:rsidP="0037343F">
      <w:pPr>
        <w:spacing w:after="120" w:line="278" w:lineRule="auto"/>
        <w:jc w:val="both"/>
      </w:pPr>
      <w:r w:rsidRPr="00BF60B5">
        <w:t>To estimate how apprenticeship numbers respond to changes in funding, we use a calibrated scaling approach, mainly due to limited data. The objective is to reflect steady, underlying delivery capacity rather than short-term fluctuations.</w:t>
      </w:r>
    </w:p>
    <w:p w14:paraId="02943726" w14:textId="770CDAE3" w:rsidR="0037343F" w:rsidRPr="00BF60B5" w:rsidRDefault="0037343F" w:rsidP="0037343F">
      <w:pPr>
        <w:spacing w:after="120" w:line="278" w:lineRule="auto"/>
        <w:jc w:val="both"/>
      </w:pPr>
      <w:r w:rsidRPr="00BF60B5">
        <w:t>Welsh Government apprenticeship funding varies significantly from year to year. To identify the broad relationship between funding levels and apprenticeship starts, we smooth the funding data using three-year moving averages. This helps distinguish periods of relatively low and relatively high funding and removes short-term noise. This smoothed funding data is used only to calibrate the model, not to generate forecasts.</w:t>
      </w:r>
    </w:p>
    <w:p w14:paraId="0B1465FB" w14:textId="34977F8B" w:rsidR="0037343F" w:rsidRPr="00BF60B5" w:rsidRDefault="0037343F" w:rsidP="0037343F">
      <w:pPr>
        <w:spacing w:after="120" w:line="278" w:lineRule="auto"/>
        <w:jc w:val="both"/>
      </w:pPr>
      <w:r w:rsidRPr="00BF60B5">
        <w:t>We then compare average apprenticeship starts in low funding periods with those in high funding periods. From this comparison, we derive an elasticity that captures how apprenticeship numbers have historically differed under materially different funding conditions. This factor is treated as indicative and capacity constrained, reflecting what has been delivered in practice, not what could be achieved in theory, and should not be interpreted as a precise behavioural relationship.</w:t>
      </w:r>
    </w:p>
    <w:p w14:paraId="2898F201" w14:textId="7AE24D06" w:rsidR="0037343F" w:rsidRPr="00BF60B5" w:rsidRDefault="0037343F" w:rsidP="0037343F">
      <w:pPr>
        <w:spacing w:after="120" w:line="278" w:lineRule="auto"/>
        <w:jc w:val="both"/>
      </w:pPr>
      <w:r w:rsidRPr="00BF60B5">
        <w:t>The elasticity is applied to final and provisional Welsh Government funding allocations for the years spanning 2024/25 to 2026/27 to estimate how many apprenticeship starts could be expected in each financial year. These starts are then distributed across retrofit relevant pathways using their historical shares.</w:t>
      </w:r>
    </w:p>
    <w:p w14:paraId="0E88D418" w14:textId="7E7C5429" w:rsidR="0037343F" w:rsidRPr="00BF60B5" w:rsidRDefault="0037343F" w:rsidP="0037343F">
      <w:pPr>
        <w:spacing w:after="120" w:line="278" w:lineRule="auto"/>
        <w:jc w:val="both"/>
      </w:pPr>
      <w:r w:rsidRPr="00BF60B5">
        <w:t>Beyond this point, funding levels are uncertain. For these outer years, we model two simple scenarios to reflect plausible funding paths:</w:t>
      </w:r>
    </w:p>
    <w:p w14:paraId="323D48BE" w14:textId="77777777" w:rsidR="0037343F" w:rsidRPr="00BF60B5" w:rsidRDefault="0037343F" w:rsidP="0037343F">
      <w:pPr>
        <w:pStyle w:val="ListParagraph"/>
        <w:numPr>
          <w:ilvl w:val="0"/>
          <w:numId w:val="28"/>
        </w:numPr>
        <w:spacing w:after="120" w:line="278" w:lineRule="auto"/>
        <w:jc w:val="both"/>
      </w:pPr>
      <w:r w:rsidRPr="00BF60B5">
        <w:t>a 2% annual increase in nominal funding</w:t>
      </w:r>
    </w:p>
    <w:p w14:paraId="741C5CB3" w14:textId="77777777" w:rsidR="0037343F" w:rsidRPr="00BF60B5" w:rsidRDefault="0037343F" w:rsidP="0037343F">
      <w:pPr>
        <w:pStyle w:val="ListParagraph"/>
        <w:numPr>
          <w:ilvl w:val="0"/>
          <w:numId w:val="28"/>
        </w:numPr>
        <w:spacing w:after="120" w:line="278" w:lineRule="auto"/>
        <w:jc w:val="both"/>
      </w:pPr>
      <w:r w:rsidRPr="00BF60B5">
        <w:t>a 2% annual increase in real funding</w:t>
      </w:r>
    </w:p>
    <w:p w14:paraId="7F1D4602" w14:textId="7CFDB690" w:rsidR="0037343F" w:rsidRPr="00BF60B5" w:rsidRDefault="0037343F" w:rsidP="0037343F">
      <w:pPr>
        <w:spacing w:after="120" w:line="278" w:lineRule="auto"/>
        <w:jc w:val="both"/>
      </w:pPr>
      <w:r w:rsidRPr="00BF60B5">
        <w:t xml:space="preserve">The first scenario is informed by past funding patterns, using average year-on-year increases as a reference, and by wider UK public spending constraints that influence how much funding flows to Wales through the Barnett formula. The scenario is then modified to consider changes in real terms – representing an ‘optimistic’ scenario. </w:t>
      </w:r>
    </w:p>
    <w:p w14:paraId="2113B071" w14:textId="076DF5BE" w:rsidR="0037343F" w:rsidRPr="00BF60B5" w:rsidRDefault="0037343F" w:rsidP="0037343F">
      <w:pPr>
        <w:spacing w:after="120" w:line="278" w:lineRule="auto"/>
        <w:jc w:val="both"/>
      </w:pPr>
      <w:r w:rsidRPr="00BF60B5">
        <w:t>Finally, we apply historical completion rates to both projected and baseline apprenticeship starts. This converts starts into qualified apprentices who successfully complete their training. These completions are treated as new entrants to the retrofit relevant workforce and are fed directly into the wider labour supply model.</w:t>
      </w:r>
    </w:p>
    <w:p w14:paraId="0B64A051" w14:textId="06FFD565" w:rsidR="0037343F" w:rsidRPr="00BF60B5" w:rsidRDefault="0037343F" w:rsidP="0037343F">
      <w:pPr>
        <w:spacing w:after="120" w:line="278" w:lineRule="auto"/>
        <w:jc w:val="both"/>
        <w:rPr>
          <w:b/>
          <w:bCs/>
        </w:rPr>
      </w:pPr>
      <w:r w:rsidRPr="00BF60B5">
        <w:rPr>
          <w:b/>
          <w:bCs/>
        </w:rPr>
        <w:t>Replacement demand</w:t>
      </w:r>
    </w:p>
    <w:p w14:paraId="2E66FEEC" w14:textId="3D30D452" w:rsidR="0037343F" w:rsidRPr="00BF60B5" w:rsidRDefault="0037343F" w:rsidP="0037343F">
      <w:pPr>
        <w:spacing w:after="120" w:line="278" w:lineRule="auto"/>
        <w:jc w:val="both"/>
      </w:pPr>
      <w:r w:rsidRPr="00BF60B5">
        <w:t>Even with sufficient training and inflows, the workforce shrinks over time through:</w:t>
      </w:r>
    </w:p>
    <w:p w14:paraId="404E5FC1" w14:textId="14C00E1F" w:rsidR="0037343F" w:rsidRPr="00BF60B5" w:rsidRDefault="0037343F" w:rsidP="0037343F">
      <w:pPr>
        <w:pStyle w:val="ListParagraph"/>
        <w:numPr>
          <w:ilvl w:val="0"/>
          <w:numId w:val="21"/>
        </w:numPr>
        <w:spacing w:after="120" w:line="278" w:lineRule="auto"/>
        <w:jc w:val="both"/>
        <w:rPr>
          <w:b/>
          <w:bCs/>
        </w:rPr>
      </w:pPr>
      <w:r w:rsidRPr="00BF60B5">
        <w:lastRenderedPageBreak/>
        <w:t>retirement from the workforce either though retirements or temporary withdrawals due to illness</w:t>
      </w:r>
    </w:p>
    <w:p w14:paraId="19BC358C" w14:textId="77777777" w:rsidR="0037343F" w:rsidRPr="00BF60B5" w:rsidRDefault="0037343F" w:rsidP="0037343F">
      <w:pPr>
        <w:pStyle w:val="ListParagraph"/>
        <w:numPr>
          <w:ilvl w:val="0"/>
          <w:numId w:val="21"/>
        </w:numPr>
        <w:spacing w:after="120" w:line="278" w:lineRule="auto"/>
        <w:jc w:val="both"/>
        <w:rPr>
          <w:b/>
          <w:bCs/>
        </w:rPr>
      </w:pPr>
      <w:r w:rsidRPr="00BF60B5">
        <w:t>mortality and death</w:t>
      </w:r>
    </w:p>
    <w:p w14:paraId="645F0BCE" w14:textId="77777777" w:rsidR="0037343F" w:rsidRPr="00BF60B5" w:rsidRDefault="0037343F" w:rsidP="0037343F">
      <w:pPr>
        <w:pStyle w:val="ListParagraph"/>
        <w:numPr>
          <w:ilvl w:val="0"/>
          <w:numId w:val="21"/>
        </w:numPr>
        <w:spacing w:after="120" w:line="278" w:lineRule="auto"/>
        <w:jc w:val="both"/>
        <w:rPr>
          <w:b/>
          <w:bCs/>
        </w:rPr>
      </w:pPr>
      <w:r w:rsidRPr="00BF60B5">
        <w:t>migration to other sectors and/or countries.</w:t>
      </w:r>
    </w:p>
    <w:p w14:paraId="2D54D6C6" w14:textId="03E0EE7A" w:rsidR="0037343F" w:rsidRPr="00BF60B5" w:rsidRDefault="0037343F" w:rsidP="0037343F">
      <w:pPr>
        <w:spacing w:after="120" w:line="278" w:lineRule="auto"/>
        <w:jc w:val="both"/>
        <w:rPr>
          <w:b/>
          <w:bCs/>
        </w:rPr>
      </w:pPr>
      <w:r w:rsidRPr="00BF60B5">
        <w:t xml:space="preserve">Accounting for attrition is essential to quantify the net change in available supply. Replacement demand is modelled using occupation-specific attrition rates for Wales specifically, informed by the </w:t>
      </w:r>
      <w:r w:rsidR="00703C97">
        <w:t>Department for Education’s The Skills Imperative 2035 report, which details long-run labour market and skills projections for UK nations from 2020 to 2035</w:t>
      </w:r>
      <w:r w:rsidRPr="00BF60B5">
        <w:t>. These rates are applied to the existing workforce stock each year, removing exits before adding new entrants or redeployed workers.</w:t>
      </w:r>
    </w:p>
    <w:p w14:paraId="2AC023DA" w14:textId="18D208F4" w:rsidR="0037343F" w:rsidRPr="00BF60B5" w:rsidRDefault="0037343F" w:rsidP="0037343F">
      <w:pPr>
        <w:spacing w:after="120" w:line="278" w:lineRule="auto"/>
        <w:jc w:val="both"/>
        <w:rPr>
          <w:b/>
          <w:bCs/>
          <w:color w:val="auto"/>
          <w:sz w:val="28"/>
          <w:szCs w:val="28"/>
        </w:rPr>
      </w:pPr>
      <w:r w:rsidRPr="00BF60B5">
        <w:rPr>
          <w:b/>
          <w:bCs/>
          <w:color w:val="auto"/>
          <w:sz w:val="28"/>
          <w:szCs w:val="28"/>
        </w:rPr>
        <w:t>Retrofit installation scenarios</w:t>
      </w:r>
    </w:p>
    <w:p w14:paraId="282C2555" w14:textId="77777777" w:rsidR="0037343F" w:rsidRPr="00BF60B5" w:rsidRDefault="0037343F" w:rsidP="0037343F">
      <w:pPr>
        <w:spacing w:after="120" w:line="276" w:lineRule="auto"/>
        <w:jc w:val="both"/>
        <w:rPr>
          <w:b/>
          <w:bCs/>
        </w:rPr>
      </w:pPr>
      <w:r w:rsidRPr="00BF60B5">
        <w:rPr>
          <w:b/>
          <w:bCs/>
        </w:rPr>
        <w:t>Base Scenario</w:t>
      </w:r>
    </w:p>
    <w:p w14:paraId="40A0FE21" w14:textId="69399995" w:rsidR="0037343F" w:rsidRPr="00BF60B5" w:rsidRDefault="0037343F" w:rsidP="0037343F">
      <w:pPr>
        <w:spacing w:after="120" w:line="276" w:lineRule="auto"/>
        <w:jc w:val="both"/>
      </w:pPr>
      <w:r w:rsidRPr="00BF60B5">
        <w:t xml:space="preserve">The base scenario reflects the Welsh Government’s long-term ambition to achieve a mostly retrofitted </w:t>
      </w:r>
      <w:r w:rsidR="003E2A5D">
        <w:t xml:space="preserve">existing </w:t>
      </w:r>
      <w:r w:rsidRPr="00BF60B5">
        <w:t xml:space="preserve">housing stock by 2050, largely in line with the Climate Change Committee’s Balanced Pathway outlined in </w:t>
      </w:r>
      <w:hyperlink r:id="rId24" w:history="1">
        <w:r w:rsidRPr="008A43AC">
          <w:rPr>
            <w:rStyle w:val="Hyperlink"/>
          </w:rPr>
          <w:t>Wales’ Fourth Carbon Budget</w:t>
        </w:r>
      </w:hyperlink>
      <w:r w:rsidRPr="00BF60B5">
        <w:t xml:space="preserve">. Under this pathway, demand for home retrofit increases steadily over time. As such, heat pump installations are taken directly from the CCC’s forecasts, with additional sense checks given to ‘big’ energy efficiency measures to ensure they are roughly aligned with the goal of approximately 280,000 installations by the end of the forecast horizon. </w:t>
      </w:r>
    </w:p>
    <w:p w14:paraId="7B420011" w14:textId="77777777" w:rsidR="0037343F" w:rsidRPr="00BF60B5" w:rsidRDefault="0037343F" w:rsidP="0037343F">
      <w:pPr>
        <w:spacing w:after="120" w:line="276" w:lineRule="auto"/>
        <w:jc w:val="both"/>
      </w:pPr>
      <w:r w:rsidRPr="00BF60B5">
        <w:t>This scenario assumes that:</w:t>
      </w:r>
    </w:p>
    <w:p w14:paraId="2E098257" w14:textId="1022ABE0" w:rsidR="0037343F" w:rsidRPr="00BF60B5" w:rsidRDefault="0037343F" w:rsidP="0037343F">
      <w:pPr>
        <w:pStyle w:val="ListParagraph"/>
        <w:numPr>
          <w:ilvl w:val="0"/>
          <w:numId w:val="23"/>
        </w:numPr>
        <w:spacing w:after="120" w:line="276" w:lineRule="auto"/>
        <w:jc w:val="both"/>
      </w:pPr>
      <w:r w:rsidRPr="00BF60B5">
        <w:rPr>
          <w:b/>
          <w:bCs/>
        </w:rPr>
        <w:t>Publicly funded retrofit programmes continue but gradually account for a smaller share of overall retrofit activity</w:t>
      </w:r>
      <w:r w:rsidRPr="00BF60B5">
        <w:t>. Over time, a growing proportion of households undertake retrofit works independently, supported by falling technology costs, improved market awareness, and wider environmental considerations.</w:t>
      </w:r>
    </w:p>
    <w:p w14:paraId="3DDA0851" w14:textId="270E21D1" w:rsidR="0037343F" w:rsidRPr="00BF60B5" w:rsidRDefault="0037343F" w:rsidP="0037343F">
      <w:pPr>
        <w:pStyle w:val="ListParagraph"/>
        <w:numPr>
          <w:ilvl w:val="0"/>
          <w:numId w:val="23"/>
        </w:numPr>
        <w:spacing w:after="120" w:line="276" w:lineRule="auto"/>
        <w:jc w:val="both"/>
      </w:pPr>
      <w:r w:rsidRPr="7D911A1D">
        <w:rPr>
          <w:b/>
          <w:bCs/>
        </w:rPr>
        <w:t>Public funding for decarbonisation increases over the forecast period</w:t>
      </w:r>
      <w:r>
        <w:t>. This includes support for low-income households and the use of regulatory standards to strengthen incentives for energy efficiency improvements. This also include</w:t>
      </w:r>
      <w:r w:rsidR="00252541">
        <w:t>s</w:t>
      </w:r>
      <w:r>
        <w:t xml:space="preserve"> an </w:t>
      </w:r>
      <w:r w:rsidR="00167C62">
        <w:t>assumption that</w:t>
      </w:r>
      <w:r w:rsidR="00252541">
        <w:t xml:space="preserve"> </w:t>
      </w:r>
      <w:r>
        <w:t>the UK Government’s Energy Company Obligation (ECO) and Great British Insulation (GBIS) schemes</w:t>
      </w:r>
      <w:r w:rsidR="00252541">
        <w:t xml:space="preserve"> are replaced with </w:t>
      </w:r>
      <w:r w:rsidR="009F2DC6">
        <w:t>more effective</w:t>
      </w:r>
      <w:r w:rsidR="00B747A2">
        <w:t xml:space="preserve"> </w:t>
      </w:r>
      <w:r w:rsidR="00FA04A0">
        <w:t>schemes with a wider reach</w:t>
      </w:r>
      <w:r>
        <w:t>.</w:t>
      </w:r>
    </w:p>
    <w:p w14:paraId="707DD48E" w14:textId="1C06818D" w:rsidR="0037343F" w:rsidRPr="00BF60B5" w:rsidRDefault="0037343F" w:rsidP="0037343F">
      <w:pPr>
        <w:pStyle w:val="ListParagraph"/>
        <w:numPr>
          <w:ilvl w:val="0"/>
          <w:numId w:val="23"/>
        </w:numPr>
        <w:spacing w:after="120" w:line="276" w:lineRule="auto"/>
        <w:jc w:val="both"/>
      </w:pPr>
      <w:r w:rsidRPr="00BF60B5">
        <w:rPr>
          <w:b/>
          <w:bCs/>
        </w:rPr>
        <w:t>Economic conditions support sustained public investment.</w:t>
      </w:r>
      <w:r w:rsidRPr="00BF60B5">
        <w:t xml:space="preserve"> Growth in the Welsh economy is sufficient to maintain higher levels of spending on retrofit.</w:t>
      </w:r>
    </w:p>
    <w:p w14:paraId="26503037" w14:textId="7373C87B" w:rsidR="0037343F" w:rsidRPr="00BF60B5" w:rsidRDefault="0037343F" w:rsidP="0037343F">
      <w:pPr>
        <w:spacing w:after="120" w:line="276" w:lineRule="auto"/>
        <w:jc w:val="both"/>
        <w:rPr>
          <w:b/>
          <w:bCs/>
        </w:rPr>
      </w:pPr>
      <w:r w:rsidRPr="00BF60B5">
        <w:rPr>
          <w:b/>
          <w:bCs/>
        </w:rPr>
        <w:t>High Demand Scenario</w:t>
      </w:r>
    </w:p>
    <w:p w14:paraId="6D5685B8" w14:textId="74A5F4AA" w:rsidR="0037343F" w:rsidRPr="00BF60B5" w:rsidRDefault="0037343F" w:rsidP="0037343F">
      <w:pPr>
        <w:spacing w:after="120" w:line="276" w:lineRule="auto"/>
        <w:jc w:val="both"/>
      </w:pPr>
      <w:r w:rsidRPr="00BF60B5">
        <w:t>The high</w:t>
      </w:r>
      <w:r>
        <w:t>-</w:t>
      </w:r>
      <w:r w:rsidRPr="00BF60B5">
        <w:t>demand scenario assumes a more rapid transition towards large</w:t>
      </w:r>
      <w:r>
        <w:t>-</w:t>
      </w:r>
      <w:r w:rsidRPr="00BF60B5">
        <w:t>scale home retrofit</w:t>
      </w:r>
      <w:r>
        <w:t>ting</w:t>
      </w:r>
      <w:r w:rsidRPr="00BF60B5">
        <w:t>. Delivery accelerates sufficiently to reduce the number of homes requiring major retrofit measures to fewer than 100,000 by 2045. Additionally, the 2049/50 goal for heat pump installations under the Balanced Pathway is brought forward to 2044/45. This scenario builds on the base case but assumes:</w:t>
      </w:r>
    </w:p>
    <w:p w14:paraId="2B54D895" w14:textId="6AC821FF" w:rsidR="0037343F" w:rsidRPr="00BF60B5" w:rsidRDefault="0037343F" w:rsidP="0037343F">
      <w:pPr>
        <w:pStyle w:val="ListParagraph"/>
        <w:numPr>
          <w:ilvl w:val="0"/>
          <w:numId w:val="29"/>
        </w:numPr>
        <w:spacing w:after="120" w:line="276" w:lineRule="auto"/>
        <w:jc w:val="both"/>
      </w:pPr>
      <w:r w:rsidRPr="00BF60B5">
        <w:rPr>
          <w:b/>
          <w:bCs/>
        </w:rPr>
        <w:t>Higher and more stable levels of public funding</w:t>
      </w:r>
      <w:r w:rsidRPr="00BF60B5">
        <w:t>, providing long term certainty for households and the supply chain.</w:t>
      </w:r>
      <w:r w:rsidR="005C5032" w:rsidRPr="005C5032">
        <w:t xml:space="preserve"> </w:t>
      </w:r>
      <w:r w:rsidR="005C5032">
        <w:t>As in the base scenario, this must be complemented by strong growth in private</w:t>
      </w:r>
      <w:r w:rsidR="002146E6">
        <w:t xml:space="preserve"> </w:t>
      </w:r>
      <w:r w:rsidR="005C5032">
        <w:t>retrofit activity.</w:t>
      </w:r>
    </w:p>
    <w:p w14:paraId="7105A5F7" w14:textId="03E7C29D" w:rsidR="0037343F" w:rsidRPr="00BF60B5" w:rsidRDefault="0037343F" w:rsidP="0037343F">
      <w:pPr>
        <w:pStyle w:val="ListParagraph"/>
        <w:numPr>
          <w:ilvl w:val="0"/>
          <w:numId w:val="29"/>
        </w:numPr>
        <w:spacing w:after="120" w:line="276" w:lineRule="auto"/>
        <w:jc w:val="both"/>
      </w:pPr>
      <w:r w:rsidRPr="00BF60B5">
        <w:rPr>
          <w:b/>
          <w:bCs/>
        </w:rPr>
        <w:lastRenderedPageBreak/>
        <w:t>Stronger regulatory drivers</w:t>
      </w:r>
      <w:r w:rsidRPr="00BF60B5">
        <w:t>, such as enhanced standards at key intervention points including sale, rental, or major renovation.</w:t>
      </w:r>
    </w:p>
    <w:p w14:paraId="00BCECC5" w14:textId="674751A9" w:rsidR="0037343F" w:rsidRPr="00BF60B5" w:rsidRDefault="0037343F" w:rsidP="0037343F">
      <w:pPr>
        <w:pStyle w:val="ListParagraph"/>
        <w:numPr>
          <w:ilvl w:val="0"/>
          <w:numId w:val="29"/>
        </w:numPr>
        <w:spacing w:after="120" w:line="276" w:lineRule="auto"/>
        <w:jc w:val="both"/>
      </w:pPr>
      <w:r w:rsidRPr="00BF60B5">
        <w:rPr>
          <w:b/>
          <w:bCs/>
        </w:rPr>
        <w:t>Technological improvements</w:t>
      </w:r>
      <w:r w:rsidRPr="00BF60B5">
        <w:t xml:space="preserve"> </w:t>
      </w:r>
      <w:r w:rsidR="005C5032">
        <w:t>that materially reduce the cost and complexity of the installation of low carbon heating and related measures, improving efficiency in publicly funded projects and providing greater incentives for private sector activity.</w:t>
      </w:r>
    </w:p>
    <w:p w14:paraId="6AD3F4BD" w14:textId="77777777" w:rsidR="0037343F" w:rsidRPr="00BF60B5" w:rsidRDefault="0037343F" w:rsidP="0037343F">
      <w:pPr>
        <w:spacing w:after="120" w:line="276" w:lineRule="auto"/>
        <w:jc w:val="both"/>
        <w:rPr>
          <w:b/>
          <w:bCs/>
        </w:rPr>
      </w:pPr>
      <w:r w:rsidRPr="00BF60B5">
        <w:rPr>
          <w:b/>
          <w:bCs/>
        </w:rPr>
        <w:t>Low Demand Scenario</w:t>
      </w:r>
    </w:p>
    <w:p w14:paraId="78528F41" w14:textId="0331C374" w:rsidR="0026752B" w:rsidRPr="00BF60B5" w:rsidRDefault="0026752B" w:rsidP="0037343F">
      <w:pPr>
        <w:spacing w:after="120" w:line="276" w:lineRule="auto"/>
        <w:jc w:val="both"/>
      </w:pPr>
      <w:r>
        <w:t xml:space="preserve">The low demand scenario may also be referred to as a ‘stall’ scenario. In the short run, it assumes that heat pump installations rise slowly, while demand for other measures, particularly glazing, lighting, and ventilation upgrades, slows slightly. This is justified by the fact that a higher proportion of these lower intrusion measures would be estimated to be funded privately, which would be expected to suffer in the first two years of the forecast due to lingering scarring following the cost-of-living crisis. Considering the trajectory of heat pump installations and other measures together, </w:t>
      </w:r>
      <w:r w:rsidRPr="0026752B">
        <w:rPr>
          <w:b/>
          <w:bCs/>
        </w:rPr>
        <w:t xml:space="preserve">labour demand largely stagnates, even falls </w:t>
      </w:r>
      <w:r w:rsidR="00FC31B3">
        <w:rPr>
          <w:b/>
          <w:bCs/>
        </w:rPr>
        <w:t>marginal</w:t>
      </w:r>
      <w:r w:rsidR="00FC31B3" w:rsidRPr="0026752B">
        <w:rPr>
          <w:b/>
          <w:bCs/>
        </w:rPr>
        <w:t>ly</w:t>
      </w:r>
      <w:r w:rsidRPr="0026752B">
        <w:rPr>
          <w:b/>
          <w:bCs/>
        </w:rPr>
        <w:t xml:space="preserve">, </w:t>
      </w:r>
      <w:r w:rsidR="00FC31B3">
        <w:rPr>
          <w:b/>
          <w:bCs/>
        </w:rPr>
        <w:t>between 2025/26 and 2026/27</w:t>
      </w:r>
      <w:r w:rsidRPr="0026752B">
        <w:rPr>
          <w:b/>
          <w:bCs/>
        </w:rPr>
        <w:t>.</w:t>
      </w:r>
      <w:r>
        <w:t xml:space="preserve"> </w:t>
      </w:r>
      <w:r w:rsidR="00FC31B3">
        <w:t>Beyond 2026/27</w:t>
      </w:r>
      <w:r>
        <w:t>, pressures stemming from reduced affordability are expected to ease, causing installations of glazing lighting, and ventilation upgrades to accelerate slightly</w:t>
      </w:r>
      <w:r w:rsidR="00FC31B3">
        <w:t>, and placing upwards pressure on labour demand</w:t>
      </w:r>
      <w:r>
        <w:t xml:space="preserve">. </w:t>
      </w:r>
      <w:r w:rsidR="00FC31B3">
        <w:t>In the later years of the forecast however, t</w:t>
      </w:r>
      <w:r>
        <w:t>he installation of heat pumps, is expected to stagnate</w:t>
      </w:r>
      <w:r w:rsidR="00FC31B3">
        <w:t>,</w:t>
      </w:r>
      <w:r>
        <w:t xml:space="preserve"> reflecting greater inertia and scepticism about the adoption of a new technology over existing </w:t>
      </w:r>
      <w:r w:rsidR="00E668E5">
        <w:t>g</w:t>
      </w:r>
      <w:r>
        <w:t xml:space="preserve">as boilers compared to the base and high demand scenarios. </w:t>
      </w:r>
      <w:r w:rsidRPr="0026752B">
        <w:rPr>
          <w:b/>
          <w:bCs/>
        </w:rPr>
        <w:t>As a result, the net effect is a downward pressure on labour demand for the later years of the forecast horizon.</w:t>
      </w:r>
    </w:p>
    <w:p w14:paraId="0344757E" w14:textId="00E2629C" w:rsidR="0037343F" w:rsidRPr="00BF60B5" w:rsidRDefault="0037343F" w:rsidP="0037343F">
      <w:pPr>
        <w:spacing w:after="120" w:line="276" w:lineRule="auto"/>
        <w:jc w:val="both"/>
      </w:pPr>
      <w:r>
        <w:t xml:space="preserve">Note that the cancellation of the ECO </w:t>
      </w:r>
      <w:r w:rsidR="008A43AC">
        <w:t xml:space="preserve">and Great British Insulation (GBIS) </w:t>
      </w:r>
      <w:r>
        <w:t>scheme</w:t>
      </w:r>
      <w:r w:rsidR="008A43AC">
        <w:t xml:space="preserve">s </w:t>
      </w:r>
      <w:r>
        <w:t xml:space="preserve">was very recent to </w:t>
      </w:r>
      <w:r w:rsidRPr="00BF60B5">
        <w:t xml:space="preserve">the time of analysis, with policy and funding arrangements that may replace </w:t>
      </w:r>
      <w:r w:rsidR="008A43AC">
        <w:t>them</w:t>
      </w:r>
      <w:r w:rsidRPr="00BF60B5">
        <w:t xml:space="preserve"> not fully defined</w:t>
      </w:r>
      <w:r w:rsidR="000C741C">
        <w:t xml:space="preserve"> in the UK Government’s Warm Homes Plan published on 21 January 2026</w:t>
      </w:r>
      <w:r w:rsidRPr="00BF60B5">
        <w:t xml:space="preserve">. </w:t>
      </w:r>
      <w:r w:rsidR="008A43AC">
        <w:t>Their</w:t>
      </w:r>
      <w:r w:rsidRPr="00BF60B5">
        <w:t xml:space="preserve"> cancellation</w:t>
      </w:r>
      <w:r w:rsidR="008A43AC">
        <w:t>s</w:t>
      </w:r>
      <w:r w:rsidRPr="00BF60B5">
        <w:t xml:space="preserve"> </w:t>
      </w:r>
      <w:r w:rsidR="00595C96">
        <w:t xml:space="preserve">could </w:t>
      </w:r>
      <w:r w:rsidRPr="00BF60B5">
        <w:t>significantly reduce access to home retrofitting for low-income households. While they could not be modelled explicitly, we believe that the effects of the cancellation</w:t>
      </w:r>
      <w:r w:rsidR="008A43AC">
        <w:t>s</w:t>
      </w:r>
      <w:r w:rsidRPr="00BF60B5">
        <w:t xml:space="preserve"> are encompassed within the broader assumptions on funding continuity and delivery rates in the low</w:t>
      </w:r>
      <w:r w:rsidR="00167C62">
        <w:t>-</w:t>
      </w:r>
      <w:r w:rsidRPr="00BF60B5">
        <w:t>demand scenario.</w:t>
      </w:r>
    </w:p>
    <w:p w14:paraId="6F58BE0B" w14:textId="41C6765D" w:rsidR="0039678C" w:rsidRDefault="0037343F" w:rsidP="0039678C">
      <w:pPr>
        <w:spacing w:after="120" w:line="278" w:lineRule="auto"/>
        <w:jc w:val="both"/>
      </w:pPr>
      <w:r w:rsidRPr="00BF60B5">
        <w:t>Under this scenario, workforce pressures are lower than both the base and high-demand scenarios, due to the weaker demand. However, progress towards long term decarbonisation objectives slows, increasing reliance on future delivery beyond the forecast horizon.</w:t>
      </w:r>
    </w:p>
    <w:p w14:paraId="4D7CDA88" w14:textId="72A065F1" w:rsidR="0039678C" w:rsidRPr="008879A5" w:rsidRDefault="0039678C" w:rsidP="0039678C">
      <w:pPr>
        <w:spacing w:after="120" w:line="278" w:lineRule="auto"/>
        <w:jc w:val="both"/>
        <w:rPr>
          <w:b/>
          <w:bCs/>
        </w:rPr>
      </w:pPr>
      <w:r w:rsidRPr="008879A5">
        <w:rPr>
          <w:b/>
          <w:bCs/>
        </w:rPr>
        <w:t>Comment on heat pump scenario dynamics</w:t>
      </w:r>
    </w:p>
    <w:p w14:paraId="14E86D4B" w14:textId="29ADC03B" w:rsidR="008879A5" w:rsidRPr="008879A5" w:rsidRDefault="0039678C" w:rsidP="0039678C">
      <w:pPr>
        <w:spacing w:after="120" w:line="278" w:lineRule="auto"/>
        <w:jc w:val="both"/>
      </w:pPr>
      <w:r w:rsidRPr="008879A5">
        <w:t>In all scenarios, the installation of heat pumps</w:t>
      </w:r>
      <w:r w:rsidR="00E8568F">
        <w:t>, identified as the primary driver of labour demand,</w:t>
      </w:r>
      <w:r w:rsidRPr="008879A5">
        <w:t xml:space="preserve"> follows an ‘S-curve’, a commonly used framework in analysing the adoption of technologies. The main takeaway here is that adoption momentum increases initially before falling as it approaches the supposed maximum number of properties in which </w:t>
      </w:r>
      <w:r w:rsidR="009E3780">
        <w:t xml:space="preserve">there is appetite for </w:t>
      </w:r>
      <w:r w:rsidRPr="008879A5">
        <w:t xml:space="preserve">heat pumps </w:t>
      </w:r>
      <w:r w:rsidR="009E3780">
        <w:t>to</w:t>
      </w:r>
      <w:r w:rsidRPr="008879A5">
        <w:t xml:space="preserve"> be installed. The figure below helps to illustrate basic S-curve dynamics. Total installations are always rising, but at different rates, as shown by the rise and fall of yearly installations. The pace of installation is thus dependent on</w:t>
      </w:r>
      <w:r w:rsidR="008879A5" w:rsidRPr="008879A5">
        <w:t>:</w:t>
      </w:r>
      <w:r w:rsidRPr="008879A5">
        <w:t xml:space="preserve"> </w:t>
      </w:r>
    </w:p>
    <w:p w14:paraId="1D150D27" w14:textId="77777777" w:rsidR="008879A5" w:rsidRPr="008879A5" w:rsidRDefault="0039678C" w:rsidP="008879A5">
      <w:pPr>
        <w:pStyle w:val="ListParagraph"/>
        <w:numPr>
          <w:ilvl w:val="0"/>
          <w:numId w:val="43"/>
        </w:numPr>
        <w:spacing w:after="120" w:line="278" w:lineRule="auto"/>
        <w:jc w:val="both"/>
      </w:pPr>
      <w:r w:rsidRPr="008879A5">
        <w:t>how far along the technology adoption is on the S-curve (for heat pumps, it is currently close to the bottom)</w:t>
      </w:r>
      <w:r w:rsidR="008879A5" w:rsidRPr="008879A5">
        <w:t xml:space="preserve">, </w:t>
      </w:r>
      <w:r w:rsidRPr="008879A5">
        <w:t xml:space="preserve">and </w:t>
      </w:r>
    </w:p>
    <w:p w14:paraId="5417EAE1" w14:textId="40C9555F" w:rsidR="0039678C" w:rsidRPr="002146E6" w:rsidRDefault="0039678C" w:rsidP="002146E6">
      <w:pPr>
        <w:pStyle w:val="ListParagraph"/>
        <w:numPr>
          <w:ilvl w:val="0"/>
          <w:numId w:val="43"/>
        </w:numPr>
        <w:spacing w:after="120" w:line="278" w:lineRule="auto"/>
        <w:jc w:val="both"/>
      </w:pPr>
      <w:r w:rsidRPr="008879A5">
        <w:t>the threshold before yearly adoptions begin to fall. In the base and high-demand scenarios, this threshold is met in 2034/35, with the difference coming from yearly installations rising and subsequently falling quicker in the high-demand scenario.</w:t>
      </w:r>
    </w:p>
    <w:p w14:paraId="69647D77" w14:textId="10F182E4" w:rsidR="0039678C" w:rsidRPr="008879A5" w:rsidRDefault="008879A5" w:rsidP="008879A5">
      <w:pPr>
        <w:pStyle w:val="Caption"/>
        <w:rPr>
          <w:color w:val="6D6E71" w:themeColor="accent3"/>
          <w:sz w:val="18"/>
          <w:szCs w:val="18"/>
        </w:rPr>
      </w:pPr>
      <w:r w:rsidRPr="0039678C">
        <w:rPr>
          <w:noProof/>
          <w:highlight w:val="yellow"/>
        </w:rPr>
        <w:lastRenderedPageBreak/>
        <w:drawing>
          <wp:anchor distT="0" distB="0" distL="114300" distR="114300" simplePos="0" relativeHeight="251658269" behindDoc="0" locked="0" layoutInCell="1" allowOverlap="1" wp14:anchorId="6B2AD7A5" wp14:editId="6360C397">
            <wp:simplePos x="0" y="0"/>
            <wp:positionH relativeFrom="column">
              <wp:posOffset>590550</wp:posOffset>
            </wp:positionH>
            <wp:positionV relativeFrom="paragraph">
              <wp:posOffset>153035</wp:posOffset>
            </wp:positionV>
            <wp:extent cx="4567555" cy="2743200"/>
            <wp:effectExtent l="0" t="0" r="4445" b="0"/>
            <wp:wrapTopAndBottom/>
            <wp:docPr id="393275476" name="Chart 1" descr="Line chart illustrating a generic S-curve for technology adoption. Total installations increase steadily over time, while annual installations rise initially, peak mid-period, and then decline, showing how yearly deployment accelerates before slowing as saturation is reached.">
              <a:extLst xmlns:a="http://schemas.openxmlformats.org/drawingml/2006/main">
                <a:ext uri="{FF2B5EF4-FFF2-40B4-BE49-F238E27FC236}">
                  <a16:creationId xmlns:a16="http://schemas.microsoft.com/office/drawing/2014/main" id="{30CC22A4-75E3-7191-4362-77255D8FAF6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anchor>
        </w:drawing>
      </w:r>
      <w:r w:rsidRPr="008879A5">
        <w:rPr>
          <w:color w:val="6D6E71" w:themeColor="accent3"/>
          <w:sz w:val="18"/>
        </w:rPr>
        <w:t xml:space="preserve"> </w:t>
      </w:r>
      <w:r w:rsidRPr="00AF6F14">
        <w:rPr>
          <w:color w:val="6D6E71" w:themeColor="accent3"/>
          <w:sz w:val="18"/>
        </w:rPr>
        <w:t xml:space="preserve">Figure </w:t>
      </w:r>
      <w:r w:rsidRPr="00AF6F14">
        <w:rPr>
          <w:color w:val="6D6E71" w:themeColor="accent3"/>
          <w:sz w:val="18"/>
        </w:rPr>
        <w:fldChar w:fldCharType="begin"/>
      </w:r>
      <w:r w:rsidRPr="00AF6F14">
        <w:rPr>
          <w:color w:val="6D6E71" w:themeColor="accent3"/>
          <w:sz w:val="18"/>
        </w:rPr>
        <w:instrText xml:space="preserve"> SEQ Figure \* ARABIC </w:instrText>
      </w:r>
      <w:r w:rsidRPr="00AF6F14">
        <w:rPr>
          <w:color w:val="6D6E71" w:themeColor="accent3"/>
          <w:sz w:val="18"/>
        </w:rPr>
        <w:fldChar w:fldCharType="separate"/>
      </w:r>
      <w:r w:rsidR="004775B5">
        <w:rPr>
          <w:noProof/>
          <w:color w:val="6D6E71" w:themeColor="accent3"/>
          <w:sz w:val="18"/>
        </w:rPr>
        <w:t>1</w:t>
      </w:r>
      <w:r w:rsidRPr="00AF6F14">
        <w:rPr>
          <w:color w:val="6D6E71" w:themeColor="accent3"/>
          <w:sz w:val="18"/>
        </w:rPr>
        <w:fldChar w:fldCharType="end"/>
      </w:r>
      <w:r w:rsidR="0039678C" w:rsidRPr="00F169DB">
        <w:rPr>
          <w:color w:val="6D6E71" w:themeColor="accent3"/>
          <w:sz w:val="18"/>
          <w:szCs w:val="18"/>
        </w:rPr>
        <w:t>:</w:t>
      </w:r>
      <w:r w:rsidR="0039678C">
        <w:rPr>
          <w:color w:val="6D6E71" w:themeColor="accent3"/>
          <w:sz w:val="18"/>
          <w:szCs w:val="18"/>
        </w:rPr>
        <w:t xml:space="preserve"> Total and yearly installations under a generic S-curve </w:t>
      </w:r>
    </w:p>
    <w:p w14:paraId="51DC5E87" w14:textId="0ED5E9A4" w:rsidR="0039678C" w:rsidRDefault="0039678C" w:rsidP="0037343F">
      <w:pPr>
        <w:spacing w:after="120" w:line="278" w:lineRule="auto"/>
        <w:jc w:val="both"/>
      </w:pPr>
      <w:r w:rsidRPr="008879A5">
        <w:t xml:space="preserve">On the other hand, the low-demand scenario </w:t>
      </w:r>
      <w:r w:rsidR="00D13180">
        <w:t xml:space="preserve">works on the key assumption that </w:t>
      </w:r>
      <w:r w:rsidRPr="008879A5">
        <w:t xml:space="preserve">the total proportion of households adopting a heat pump by 2050 will be substantially lower than </w:t>
      </w:r>
      <w:r w:rsidR="00F428DC">
        <w:t xml:space="preserve">the </w:t>
      </w:r>
      <w:r w:rsidRPr="008879A5">
        <w:t>approximately 90% of properties that are assumed to be suitable. As a result, the S-curve meets the threshold at which installations begin to fall sooner, in 203</w:t>
      </w:r>
      <w:r w:rsidR="00EA296F">
        <w:t>1</w:t>
      </w:r>
      <w:r w:rsidRPr="008879A5">
        <w:t>/3</w:t>
      </w:r>
      <w:r w:rsidR="00EA296F">
        <w:t>2</w:t>
      </w:r>
      <w:r w:rsidRPr="008879A5">
        <w:t>, and at a lower level of installations. As a result, yearly installations rise until 203</w:t>
      </w:r>
      <w:r w:rsidR="00EA296F">
        <w:t>1</w:t>
      </w:r>
      <w:r w:rsidRPr="008879A5">
        <w:t>/3</w:t>
      </w:r>
      <w:r w:rsidR="00EA296F">
        <w:t>2,</w:t>
      </w:r>
      <w:r w:rsidRPr="008879A5">
        <w:t xml:space="preserve"> before beginning to fall towards 203</w:t>
      </w:r>
      <w:r w:rsidR="00F428DC">
        <w:t>4/3</w:t>
      </w:r>
      <w:r w:rsidRPr="008879A5">
        <w:t>5 in the low-demand scenario. These yearly installation figures would then be expected to stay roughly constant heading into 2050.</w:t>
      </w:r>
      <w:r>
        <w:t xml:space="preserve">  </w:t>
      </w:r>
    </w:p>
    <w:p w14:paraId="1E532ECB" w14:textId="77777777" w:rsidR="0037343F" w:rsidRDefault="0037343F" w:rsidP="0037343F">
      <w:pPr>
        <w:spacing w:after="120" w:line="278" w:lineRule="auto"/>
        <w:jc w:val="both"/>
        <w:rPr>
          <w:b/>
          <w:bCs/>
          <w:color w:val="auto"/>
          <w:sz w:val="28"/>
          <w:szCs w:val="28"/>
        </w:rPr>
      </w:pPr>
      <w:r>
        <w:rPr>
          <w:b/>
          <w:bCs/>
          <w:color w:val="auto"/>
          <w:sz w:val="28"/>
          <w:szCs w:val="28"/>
        </w:rPr>
        <w:t>Note on Forecasts and Assumptions</w:t>
      </w:r>
    </w:p>
    <w:p w14:paraId="53A20D90" w14:textId="7CCCDAC0" w:rsidR="00A94599" w:rsidRDefault="00A94599" w:rsidP="00A94599">
      <w:pPr>
        <w:spacing w:after="120" w:line="278" w:lineRule="auto"/>
        <w:jc w:val="both"/>
      </w:pPr>
      <w:r>
        <w:t xml:space="preserve">The use of assumptions in this report reflects both inherent uncertainty in forward-looking analysis and practical constraints in data availability. While care has been taken to ground all assumptions in the best available empirical evidence, several core inputs rely on datasets that are either lagged, partial, or not designed specifically for forecasting purposes. Examples include the use of </w:t>
      </w:r>
      <w:r w:rsidR="000D19E4">
        <w:t>dated WHCS microdata</w:t>
      </w:r>
      <w:r>
        <w:t xml:space="preserve">, the use of Census information to infer cross-border commuting patterns, and historic apprenticeship outcomes to project future training capacity. In some cases, trends or distributions observed in historic data must therefore be carried forward to approximate present-day or future conditions. While </w:t>
      </w:r>
      <w:r w:rsidR="00167C62">
        <w:t>our analysis has sought to ground</w:t>
      </w:r>
      <w:r>
        <w:t xml:space="preserve"> these </w:t>
      </w:r>
      <w:r w:rsidR="000D19E4">
        <w:t>past</w:t>
      </w:r>
      <w:r>
        <w:t xml:space="preserve"> trends to </w:t>
      </w:r>
      <w:r w:rsidR="000D19E4">
        <w:t>today’s outcomes</w:t>
      </w:r>
      <w:r>
        <w:t xml:space="preserve"> (</w:t>
      </w:r>
      <w:r w:rsidR="000D19E4">
        <w:t>e.g., nowcasting number of installations needed today based on 2017/18 WHCS microdata,</w:t>
      </w:r>
      <w:r>
        <w:t xml:space="preserve"> out-commuting validation), they may not fully capture structural change, policy discontinuities, or shifts in behaviour over time.</w:t>
      </w:r>
    </w:p>
    <w:p w14:paraId="1281A312" w14:textId="76AE6147" w:rsidR="00A94599" w:rsidRDefault="00A94599" w:rsidP="00A94599">
      <w:pPr>
        <w:spacing w:after="120" w:line="278" w:lineRule="auto"/>
        <w:jc w:val="both"/>
      </w:pPr>
      <w:r>
        <w:t>The modelling framework also necessarily abstracts from certain dynamics that could materially affect outcomes. Labour supply projections do not endogenously adjust to wage changes or behavioural responses to rising demand. Similarly, redeployment estimates represent upper-bound availability rather than realised flows and do not assume the removal of institutional, accreditation, or coordination barriers. On the demand side, retrofit delivery scenarios are informed by policy ambition, industry benchmarks, and external pathways, but actual delivery may diverge due to funding decisions, household behaviour, supply chain constraints, or changes in regulatory frameworks. As a result, point estimates should be interpreted as indicative rather than precise.</w:t>
      </w:r>
    </w:p>
    <w:p w14:paraId="7836ECD2" w14:textId="7DC03FE0" w:rsidR="00A94599" w:rsidRDefault="00A94599" w:rsidP="00A94599">
      <w:pPr>
        <w:spacing w:after="120" w:line="278" w:lineRule="auto"/>
        <w:jc w:val="both"/>
      </w:pPr>
      <w:r>
        <w:lastRenderedPageBreak/>
        <w:t>More broadly, all forecasts presented in this report represent structured ‘best guesses’ based on current information and stated assumptions. By definition, they cannot account for future unanticipated events or shocks, such as macroeconomic downturns, policy reversals, technological breakthroughs, or changes in labour mobility. While scenario analysis is used to bound uncertainty and illustrate plausible alternative futures, even outcomes within these bounds are not guaranteed. Uncertainty increases over time, particularly towards the end of the ten-year horizon, and results should therefore be interpreted as directional and comparative, supporting strategic planning rather than serving as infallible predictions.</w:t>
      </w:r>
    </w:p>
    <w:p w14:paraId="6E2834A4" w14:textId="6FBA496E" w:rsidR="0037343F" w:rsidRDefault="0037343F" w:rsidP="0037343F">
      <w:pPr>
        <w:spacing w:after="120" w:line="278" w:lineRule="auto"/>
        <w:jc w:val="both"/>
      </w:pPr>
      <w:r>
        <w:t xml:space="preserve"> </w:t>
      </w:r>
    </w:p>
    <w:p w14:paraId="2BD31329" w14:textId="11CA0110" w:rsidR="0018044F" w:rsidRPr="00015203" w:rsidRDefault="00683D5D" w:rsidP="00DD6114">
      <w:pPr>
        <w:pStyle w:val="Heading1"/>
        <w:numPr>
          <w:ilvl w:val="0"/>
          <w:numId w:val="7"/>
        </w:numPr>
        <w:spacing w:before="240" w:after="120"/>
        <w:ind w:right="-4913"/>
        <w:rPr>
          <w:rFonts w:ascii="Helvetica Neue LT Std 65 Medium" w:hAnsi="Helvetica Neue LT Std 65 Medium"/>
          <w:bCs/>
        </w:rPr>
      </w:pPr>
      <w:bookmarkStart w:id="16" w:name="_Toc221182652"/>
      <w:r w:rsidRPr="00015203">
        <w:rPr>
          <w:rFonts w:ascii="Helvetica Neue LT Std 65 Medium" w:hAnsi="Helvetica Neue LT Std 65 Medium"/>
          <w:bCs/>
        </w:rPr>
        <w:lastRenderedPageBreak/>
        <w:t>Establishing the baseline</w:t>
      </w:r>
      <w:bookmarkEnd w:id="16"/>
    </w:p>
    <w:p w14:paraId="3FD8F94E" w14:textId="36319547" w:rsidR="00E2407F" w:rsidRPr="00015203" w:rsidRDefault="00683D5D" w:rsidP="000D37D8">
      <w:pPr>
        <w:pStyle w:val="Heading2"/>
      </w:pPr>
      <w:bookmarkStart w:id="17" w:name="_Toc221182653"/>
      <w:r w:rsidRPr="00015203">
        <w:t>Selection of occupational codes</w:t>
      </w:r>
      <w:bookmarkEnd w:id="17"/>
    </w:p>
    <w:p w14:paraId="4DFDBAF8" w14:textId="2B5A84CB" w:rsidR="00683D5D" w:rsidRPr="00015203" w:rsidRDefault="000D37D8" w:rsidP="00683D5D">
      <w:pPr>
        <w:spacing w:after="120" w:line="278" w:lineRule="auto"/>
        <w:jc w:val="both"/>
      </w:pPr>
      <w:r w:rsidRPr="00015203">
        <w:t>The chosen occupational codes</w:t>
      </w:r>
      <w:r w:rsidR="00585396" w:rsidRPr="00015203">
        <w:t xml:space="preserve"> have been listed in the table below</w:t>
      </w:r>
      <w:r w:rsidR="006519CF" w:rsidRPr="00015203">
        <w:t>, alongside their classification</w:t>
      </w:r>
      <w:r w:rsidR="006519CF" w:rsidRPr="00015203">
        <w:rPr>
          <w:b/>
          <w:bCs/>
        </w:rPr>
        <w:t xml:space="preserve"> </w:t>
      </w:r>
      <w:r w:rsidR="006519CF" w:rsidRPr="00015203">
        <w:t>and the justification for their inclusion.</w:t>
      </w:r>
    </w:p>
    <w:p w14:paraId="08B82CEC" w14:textId="469066CD" w:rsidR="00BC250D" w:rsidRPr="00F169DB" w:rsidRDefault="00F169DB" w:rsidP="00F169DB">
      <w:pPr>
        <w:pStyle w:val="Caption"/>
        <w:rPr>
          <w:color w:val="6D6E71" w:themeColor="accent3"/>
          <w:sz w:val="18"/>
          <w:szCs w:val="18"/>
        </w:rPr>
      </w:pPr>
      <w:r w:rsidRPr="00F169DB">
        <w:rPr>
          <w:color w:val="6D6E71" w:themeColor="accent3"/>
          <w:sz w:val="18"/>
          <w:szCs w:val="18"/>
        </w:rPr>
        <w:t xml:space="preserve">Table </w:t>
      </w:r>
      <w:r w:rsidRPr="00F169DB">
        <w:rPr>
          <w:color w:val="6D6E71" w:themeColor="accent3"/>
          <w:sz w:val="18"/>
          <w:szCs w:val="18"/>
        </w:rPr>
        <w:fldChar w:fldCharType="begin"/>
      </w:r>
      <w:r w:rsidRPr="00F169DB">
        <w:rPr>
          <w:color w:val="6D6E71" w:themeColor="accent3"/>
          <w:sz w:val="18"/>
          <w:szCs w:val="18"/>
        </w:rPr>
        <w:instrText xml:space="preserve"> SEQ Table \* ARABIC </w:instrText>
      </w:r>
      <w:r w:rsidRPr="00F169DB">
        <w:rPr>
          <w:color w:val="6D6E71" w:themeColor="accent3"/>
          <w:sz w:val="18"/>
          <w:szCs w:val="18"/>
        </w:rPr>
        <w:fldChar w:fldCharType="separate"/>
      </w:r>
      <w:r w:rsidR="004775B5">
        <w:rPr>
          <w:noProof/>
          <w:color w:val="6D6E71" w:themeColor="accent3"/>
          <w:sz w:val="18"/>
          <w:szCs w:val="18"/>
        </w:rPr>
        <w:t>2</w:t>
      </w:r>
      <w:r w:rsidRPr="00F169DB">
        <w:rPr>
          <w:color w:val="6D6E71" w:themeColor="accent3"/>
          <w:sz w:val="18"/>
          <w:szCs w:val="18"/>
        </w:rPr>
        <w:fldChar w:fldCharType="end"/>
      </w:r>
      <w:r w:rsidRPr="00F169DB">
        <w:rPr>
          <w:color w:val="6D6E71" w:themeColor="accent3"/>
          <w:sz w:val="18"/>
          <w:szCs w:val="18"/>
        </w:rPr>
        <w:t>:</w:t>
      </w:r>
      <w:r w:rsidR="00836696" w:rsidRPr="00F169DB">
        <w:rPr>
          <w:color w:val="6D6E71" w:themeColor="accent3"/>
          <w:sz w:val="18"/>
          <w:szCs w:val="18"/>
        </w:rPr>
        <w:t xml:space="preserve"> </w:t>
      </w:r>
      <w:r w:rsidR="000E4ED2" w:rsidRPr="00F169DB">
        <w:rPr>
          <w:color w:val="6D6E71" w:themeColor="accent3"/>
          <w:sz w:val="18"/>
          <w:szCs w:val="18"/>
        </w:rPr>
        <w:t xml:space="preserve">SOC </w:t>
      </w:r>
      <w:r w:rsidR="00836696" w:rsidRPr="00F169DB">
        <w:rPr>
          <w:color w:val="6D6E71" w:themeColor="accent3"/>
          <w:sz w:val="18"/>
          <w:szCs w:val="18"/>
        </w:rPr>
        <w:t xml:space="preserve">codes for occupations involved in retrofitting, their classification according to </w:t>
      </w:r>
      <w:r w:rsidR="00A71219" w:rsidRPr="00F169DB">
        <w:rPr>
          <w:color w:val="6D6E71" w:themeColor="accent3"/>
          <w:sz w:val="18"/>
          <w:szCs w:val="18"/>
        </w:rPr>
        <w:t>their function and relationship to retrofit</w:t>
      </w:r>
      <w:r w:rsidR="00836696" w:rsidRPr="00F169DB">
        <w:rPr>
          <w:color w:val="6D6E71" w:themeColor="accent3"/>
          <w:sz w:val="18"/>
          <w:szCs w:val="18"/>
        </w:rPr>
        <w:t>, and the justification for their inclusion</w:t>
      </w:r>
    </w:p>
    <w:tbl>
      <w:tblPr>
        <w:tblW w:w="10341" w:type="dxa"/>
        <w:jc w:val="center"/>
        <w:tblCellMar>
          <w:left w:w="0" w:type="dxa"/>
          <w:right w:w="0" w:type="dxa"/>
        </w:tblCellMar>
        <w:tblLook w:val="04A0" w:firstRow="1" w:lastRow="0" w:firstColumn="1" w:lastColumn="0" w:noHBand="0" w:noVBand="1"/>
        <w:tblCaption w:val="Table 2: SOC codes for occupations involved in retrofitting, their classification according to their function and relationship to retrofit, and the justification for their inclusion"/>
        <w:tblDescription w:val="Table listing SOC codes and occupation names involved in home retrofitting, their classification and functional role, and the justification for their inclusion in the analysis."/>
      </w:tblPr>
      <w:tblGrid>
        <w:gridCol w:w="1100"/>
        <w:gridCol w:w="1584"/>
        <w:gridCol w:w="1517"/>
        <w:gridCol w:w="1420"/>
        <w:gridCol w:w="4720"/>
      </w:tblGrid>
      <w:tr w:rsidR="00196714" w:rsidRPr="00015203" w14:paraId="65F8AD34" w14:textId="77777777" w:rsidTr="096B2833">
        <w:trPr>
          <w:trHeight w:val="641"/>
          <w:jc w:val="center"/>
        </w:trPr>
        <w:tc>
          <w:tcPr>
            <w:tcW w:w="1100" w:type="dxa"/>
            <w:tcBorders>
              <w:top w:val="single" w:sz="8" w:space="0" w:color="auto"/>
              <w:left w:val="single" w:sz="8" w:space="0" w:color="auto"/>
              <w:bottom w:val="single" w:sz="8" w:space="0" w:color="auto"/>
              <w:right w:val="single" w:sz="8" w:space="0" w:color="auto"/>
            </w:tcBorders>
            <w:shd w:val="clear" w:color="auto" w:fill="C4BC96" w:themeFill="background2" w:themeFillShade="BF"/>
            <w:noWrap/>
            <w:vAlign w:val="center"/>
            <w:hideMark/>
          </w:tcPr>
          <w:p w14:paraId="01F374BE" w14:textId="77777777" w:rsidR="00196714" w:rsidRPr="00015203" w:rsidRDefault="00196714" w:rsidP="00196714">
            <w:pPr>
              <w:spacing w:after="0"/>
              <w:jc w:val="center"/>
              <w:rPr>
                <w:rFonts w:eastAsia="Times New Roman" w:cs="Arial"/>
                <w:b/>
                <w:bCs/>
                <w:color w:val="auto"/>
                <w:sz w:val="20"/>
                <w:lang w:eastAsia="en-GB"/>
              </w:rPr>
            </w:pPr>
            <w:r w:rsidRPr="00015203">
              <w:rPr>
                <w:rFonts w:eastAsia="Times New Roman" w:cs="Arial"/>
                <w:b/>
                <w:bCs/>
                <w:color w:val="auto"/>
                <w:sz w:val="20"/>
                <w:lang w:eastAsia="en-GB"/>
              </w:rPr>
              <w:t>SOC Code</w:t>
            </w:r>
          </w:p>
        </w:tc>
        <w:tc>
          <w:tcPr>
            <w:tcW w:w="1584" w:type="dxa"/>
            <w:tcBorders>
              <w:top w:val="single" w:sz="8" w:space="0" w:color="auto"/>
              <w:left w:val="nil"/>
              <w:bottom w:val="single" w:sz="8" w:space="0" w:color="auto"/>
              <w:right w:val="single" w:sz="8" w:space="0" w:color="auto"/>
            </w:tcBorders>
            <w:shd w:val="clear" w:color="auto" w:fill="C4BC96" w:themeFill="background2" w:themeFillShade="BF"/>
            <w:noWrap/>
            <w:vAlign w:val="center"/>
            <w:hideMark/>
          </w:tcPr>
          <w:p w14:paraId="73D25DD5" w14:textId="77777777" w:rsidR="00196714" w:rsidRPr="00015203" w:rsidRDefault="00196714" w:rsidP="00196714">
            <w:pPr>
              <w:spacing w:after="0"/>
              <w:jc w:val="center"/>
              <w:rPr>
                <w:rFonts w:eastAsia="Times New Roman" w:cs="Arial"/>
                <w:b/>
                <w:bCs/>
                <w:color w:val="auto"/>
                <w:sz w:val="20"/>
                <w:lang w:eastAsia="en-GB"/>
              </w:rPr>
            </w:pPr>
            <w:r w:rsidRPr="00015203">
              <w:rPr>
                <w:rFonts w:eastAsia="Times New Roman" w:cs="Arial"/>
                <w:b/>
                <w:bCs/>
                <w:color w:val="auto"/>
                <w:sz w:val="20"/>
                <w:lang w:eastAsia="en-GB"/>
              </w:rPr>
              <w:t>SOC Name</w:t>
            </w:r>
          </w:p>
        </w:tc>
        <w:tc>
          <w:tcPr>
            <w:tcW w:w="1517" w:type="dxa"/>
            <w:tcBorders>
              <w:top w:val="single" w:sz="8" w:space="0" w:color="auto"/>
              <w:left w:val="nil"/>
              <w:bottom w:val="single" w:sz="8" w:space="0" w:color="auto"/>
              <w:right w:val="single" w:sz="8" w:space="0" w:color="auto"/>
            </w:tcBorders>
            <w:shd w:val="clear" w:color="auto" w:fill="C4BC96" w:themeFill="background2" w:themeFillShade="BF"/>
            <w:noWrap/>
            <w:vAlign w:val="center"/>
            <w:hideMark/>
          </w:tcPr>
          <w:p w14:paraId="6866B927" w14:textId="77777777" w:rsidR="00196714" w:rsidRPr="00015203" w:rsidRDefault="00196714" w:rsidP="00196714">
            <w:pPr>
              <w:spacing w:after="0"/>
              <w:jc w:val="center"/>
              <w:rPr>
                <w:rFonts w:eastAsia="Times New Roman" w:cs="Arial"/>
                <w:b/>
                <w:bCs/>
                <w:color w:val="auto"/>
                <w:sz w:val="20"/>
                <w:lang w:eastAsia="en-GB"/>
              </w:rPr>
            </w:pPr>
            <w:r w:rsidRPr="00015203">
              <w:rPr>
                <w:rFonts w:eastAsia="Times New Roman" w:cs="Arial"/>
                <w:b/>
                <w:bCs/>
                <w:color w:val="auto"/>
                <w:sz w:val="20"/>
                <w:lang w:eastAsia="en-GB"/>
              </w:rPr>
              <w:t>Classification</w:t>
            </w:r>
          </w:p>
        </w:tc>
        <w:tc>
          <w:tcPr>
            <w:tcW w:w="1420" w:type="dxa"/>
            <w:tcBorders>
              <w:top w:val="single" w:sz="8" w:space="0" w:color="auto"/>
              <w:left w:val="nil"/>
              <w:bottom w:val="single" w:sz="8" w:space="0" w:color="auto"/>
              <w:right w:val="single" w:sz="8" w:space="0" w:color="auto"/>
            </w:tcBorders>
            <w:shd w:val="clear" w:color="auto" w:fill="C4BC96" w:themeFill="background2" w:themeFillShade="BF"/>
            <w:noWrap/>
            <w:vAlign w:val="center"/>
            <w:hideMark/>
          </w:tcPr>
          <w:p w14:paraId="47D9F8FD" w14:textId="652FD4B7" w:rsidR="00196714" w:rsidRPr="00015203" w:rsidRDefault="008B7826" w:rsidP="00196714">
            <w:pPr>
              <w:spacing w:after="0"/>
              <w:jc w:val="center"/>
              <w:rPr>
                <w:rFonts w:eastAsia="Times New Roman" w:cs="Arial"/>
                <w:b/>
                <w:bCs/>
                <w:color w:val="auto"/>
                <w:sz w:val="20"/>
                <w:lang w:eastAsia="en-GB"/>
              </w:rPr>
            </w:pPr>
            <w:r w:rsidRPr="00015203">
              <w:rPr>
                <w:rFonts w:eastAsia="Times New Roman" w:cs="Arial"/>
                <w:b/>
                <w:bCs/>
                <w:color w:val="auto"/>
                <w:sz w:val="20"/>
                <w:lang w:eastAsia="en-GB"/>
              </w:rPr>
              <w:t>Function</w:t>
            </w:r>
          </w:p>
        </w:tc>
        <w:tc>
          <w:tcPr>
            <w:tcW w:w="4720" w:type="dxa"/>
            <w:tcBorders>
              <w:top w:val="single" w:sz="8" w:space="0" w:color="auto"/>
              <w:left w:val="nil"/>
              <w:bottom w:val="single" w:sz="8" w:space="0" w:color="auto"/>
              <w:right w:val="single" w:sz="8" w:space="0" w:color="auto"/>
            </w:tcBorders>
            <w:shd w:val="clear" w:color="auto" w:fill="C4BC96" w:themeFill="background2" w:themeFillShade="BF"/>
            <w:noWrap/>
            <w:vAlign w:val="center"/>
            <w:hideMark/>
          </w:tcPr>
          <w:p w14:paraId="1031EA5D" w14:textId="77777777" w:rsidR="00196714" w:rsidRPr="00015203" w:rsidRDefault="00196714" w:rsidP="00196714">
            <w:pPr>
              <w:spacing w:after="0"/>
              <w:jc w:val="center"/>
              <w:rPr>
                <w:rFonts w:eastAsia="Times New Roman" w:cs="Arial"/>
                <w:b/>
                <w:bCs/>
                <w:color w:val="auto"/>
                <w:sz w:val="20"/>
                <w:lang w:eastAsia="en-GB"/>
              </w:rPr>
            </w:pPr>
            <w:r w:rsidRPr="00015203">
              <w:rPr>
                <w:rFonts w:eastAsia="Times New Roman" w:cs="Arial"/>
                <w:b/>
                <w:bCs/>
                <w:color w:val="auto"/>
                <w:sz w:val="20"/>
                <w:lang w:eastAsia="en-GB"/>
              </w:rPr>
              <w:t>Justification</w:t>
            </w:r>
          </w:p>
        </w:tc>
      </w:tr>
      <w:tr w:rsidR="00456C4A" w:rsidRPr="00015203" w14:paraId="5DC82C29" w14:textId="77777777" w:rsidTr="096B2833">
        <w:trPr>
          <w:trHeight w:val="1215"/>
          <w:jc w:val="center"/>
        </w:trPr>
        <w:tc>
          <w:tcPr>
            <w:tcW w:w="11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10197F4E"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5241</w:t>
            </w:r>
          </w:p>
        </w:tc>
        <w:tc>
          <w:tcPr>
            <w:tcW w:w="1584" w:type="dxa"/>
            <w:tcBorders>
              <w:top w:val="nil"/>
              <w:left w:val="nil"/>
              <w:bottom w:val="single" w:sz="8" w:space="0" w:color="auto"/>
              <w:right w:val="single" w:sz="8" w:space="0" w:color="auto"/>
            </w:tcBorders>
            <w:shd w:val="clear" w:color="auto" w:fill="FFFFFF" w:themeFill="background1"/>
            <w:vAlign w:val="center"/>
            <w:hideMark/>
          </w:tcPr>
          <w:p w14:paraId="3D359DE4"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Electricians and electrical fitters</w:t>
            </w:r>
          </w:p>
        </w:tc>
        <w:tc>
          <w:tcPr>
            <w:tcW w:w="1517" w:type="dxa"/>
            <w:vMerge w:val="restart"/>
            <w:tcBorders>
              <w:top w:val="nil"/>
              <w:left w:val="nil"/>
              <w:right w:val="single" w:sz="8" w:space="0" w:color="auto"/>
            </w:tcBorders>
            <w:shd w:val="clear" w:color="auto" w:fill="006773"/>
            <w:noWrap/>
            <w:vAlign w:val="center"/>
            <w:hideMark/>
          </w:tcPr>
          <w:p w14:paraId="4CF70367" w14:textId="65044978" w:rsidR="00456C4A" w:rsidRPr="00015203" w:rsidRDefault="00456C4A" w:rsidP="00456C4A">
            <w:pPr>
              <w:spacing w:after="0"/>
              <w:jc w:val="center"/>
              <w:rPr>
                <w:rFonts w:eastAsia="Times New Roman" w:cs="Arial"/>
                <w:b/>
                <w:bCs/>
                <w:color w:val="FFFFFF"/>
                <w:sz w:val="20"/>
                <w:lang w:eastAsia="en-GB"/>
              </w:rPr>
            </w:pPr>
            <w:r w:rsidRPr="00015203">
              <w:rPr>
                <w:rFonts w:eastAsia="Times New Roman" w:cs="Arial"/>
                <w:b/>
                <w:bCs/>
                <w:color w:val="FFFFFF"/>
                <w:sz w:val="20"/>
                <w:lang w:eastAsia="en-GB"/>
              </w:rPr>
              <w:t>Core</w:t>
            </w:r>
          </w:p>
        </w:tc>
        <w:tc>
          <w:tcPr>
            <w:tcW w:w="1420" w:type="dxa"/>
            <w:vMerge w:val="restart"/>
            <w:tcBorders>
              <w:top w:val="nil"/>
              <w:left w:val="nil"/>
              <w:right w:val="single" w:sz="8" w:space="0" w:color="auto"/>
            </w:tcBorders>
            <w:shd w:val="clear" w:color="auto" w:fill="008C9B" w:themeFill="accent1"/>
            <w:vAlign w:val="center"/>
            <w:hideMark/>
          </w:tcPr>
          <w:p w14:paraId="3B4A5C83" w14:textId="4EF9ECF5" w:rsidR="00456C4A" w:rsidRPr="00015203" w:rsidRDefault="00456C4A" w:rsidP="00456C4A">
            <w:pPr>
              <w:spacing w:after="0"/>
              <w:jc w:val="center"/>
              <w:rPr>
                <w:rFonts w:eastAsia="Times New Roman" w:cs="Arial"/>
                <w:b/>
                <w:bCs/>
                <w:color w:val="FFFFFF"/>
                <w:sz w:val="20"/>
                <w:lang w:eastAsia="en-GB"/>
              </w:rPr>
            </w:pPr>
            <w:r w:rsidRPr="00015203">
              <w:rPr>
                <w:rFonts w:eastAsia="Times New Roman" w:cs="Arial"/>
                <w:b/>
                <w:bCs/>
                <w:color w:val="FFFFFF"/>
                <w:sz w:val="20"/>
                <w:lang w:eastAsia="en-GB"/>
              </w:rPr>
              <w:t>Direct</w:t>
            </w:r>
          </w:p>
        </w:tc>
        <w:tc>
          <w:tcPr>
            <w:tcW w:w="4720" w:type="dxa"/>
            <w:tcBorders>
              <w:top w:val="nil"/>
              <w:left w:val="nil"/>
              <w:bottom w:val="single" w:sz="8" w:space="0" w:color="auto"/>
              <w:right w:val="single" w:sz="8" w:space="0" w:color="auto"/>
            </w:tcBorders>
            <w:shd w:val="clear" w:color="auto" w:fill="FFFFFF" w:themeFill="background1"/>
            <w:vAlign w:val="center"/>
            <w:hideMark/>
          </w:tcPr>
          <w:p w14:paraId="2ECBDC1E"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Retrofit infrastructure is mostly electric, from heat pumps to solar panels and EV chargers. Electricians are therefore essential for installation.</w:t>
            </w:r>
          </w:p>
        </w:tc>
      </w:tr>
      <w:tr w:rsidR="00456C4A" w:rsidRPr="00015203" w14:paraId="2F48946A" w14:textId="77777777" w:rsidTr="096B2833">
        <w:trPr>
          <w:trHeight w:val="1215"/>
          <w:jc w:val="center"/>
        </w:trPr>
        <w:tc>
          <w:tcPr>
            <w:tcW w:w="11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635302C0"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5314</w:t>
            </w:r>
          </w:p>
        </w:tc>
        <w:tc>
          <w:tcPr>
            <w:tcW w:w="1584" w:type="dxa"/>
            <w:tcBorders>
              <w:top w:val="nil"/>
              <w:left w:val="nil"/>
              <w:bottom w:val="single" w:sz="8" w:space="0" w:color="auto"/>
              <w:right w:val="single" w:sz="8" w:space="0" w:color="auto"/>
            </w:tcBorders>
            <w:shd w:val="clear" w:color="auto" w:fill="FFFFFF" w:themeFill="background1"/>
            <w:vAlign w:val="center"/>
            <w:hideMark/>
          </w:tcPr>
          <w:p w14:paraId="029D6223"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Roofers, roof tilers and slaters</w:t>
            </w:r>
          </w:p>
        </w:tc>
        <w:tc>
          <w:tcPr>
            <w:tcW w:w="1517" w:type="dxa"/>
            <w:vMerge/>
            <w:noWrap/>
            <w:vAlign w:val="center"/>
            <w:hideMark/>
          </w:tcPr>
          <w:p w14:paraId="6ACA78C8" w14:textId="49761265" w:rsidR="00456C4A" w:rsidRPr="00015203" w:rsidRDefault="00456C4A" w:rsidP="00FD3B6A">
            <w:pPr>
              <w:spacing w:after="0"/>
              <w:jc w:val="center"/>
              <w:rPr>
                <w:rFonts w:eastAsia="Times New Roman" w:cs="Arial"/>
                <w:b/>
                <w:bCs/>
                <w:color w:val="FFFFFF"/>
                <w:sz w:val="20"/>
                <w:lang w:eastAsia="en-GB"/>
              </w:rPr>
            </w:pPr>
          </w:p>
        </w:tc>
        <w:tc>
          <w:tcPr>
            <w:tcW w:w="1420" w:type="dxa"/>
            <w:vMerge/>
            <w:vAlign w:val="center"/>
            <w:hideMark/>
          </w:tcPr>
          <w:p w14:paraId="748886F8" w14:textId="4EFA5E06" w:rsidR="00456C4A" w:rsidRPr="00015203" w:rsidRDefault="00456C4A" w:rsidP="00196714">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auto" w:fill="FFFFFF" w:themeFill="background1"/>
            <w:vAlign w:val="center"/>
            <w:hideMark/>
          </w:tcPr>
          <w:p w14:paraId="34AEC1AB" w14:textId="290BFD24"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Roofs are key zones of heat loss in houses, and are often targeted when improving insulation, requiring workers with expertise in that area.</w:t>
            </w:r>
          </w:p>
        </w:tc>
      </w:tr>
      <w:tr w:rsidR="00456C4A" w:rsidRPr="00015203" w14:paraId="61A100F6" w14:textId="77777777" w:rsidTr="096B2833">
        <w:trPr>
          <w:trHeight w:val="1215"/>
          <w:jc w:val="center"/>
        </w:trPr>
        <w:tc>
          <w:tcPr>
            <w:tcW w:w="11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0E727171"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5315</w:t>
            </w:r>
          </w:p>
        </w:tc>
        <w:tc>
          <w:tcPr>
            <w:tcW w:w="1584" w:type="dxa"/>
            <w:tcBorders>
              <w:top w:val="nil"/>
              <w:left w:val="nil"/>
              <w:bottom w:val="single" w:sz="8" w:space="0" w:color="auto"/>
              <w:right w:val="single" w:sz="8" w:space="0" w:color="auto"/>
            </w:tcBorders>
            <w:shd w:val="clear" w:color="auto" w:fill="FFFFFF" w:themeFill="background1"/>
            <w:vAlign w:val="center"/>
            <w:hideMark/>
          </w:tcPr>
          <w:p w14:paraId="5776A1BD"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Plumbers &amp; heating and ventilating installers and repairers</w:t>
            </w:r>
          </w:p>
        </w:tc>
        <w:tc>
          <w:tcPr>
            <w:tcW w:w="1517" w:type="dxa"/>
            <w:vMerge/>
            <w:noWrap/>
            <w:vAlign w:val="center"/>
            <w:hideMark/>
          </w:tcPr>
          <w:p w14:paraId="7D27B782" w14:textId="2ADA7120" w:rsidR="00456C4A" w:rsidRPr="00015203" w:rsidRDefault="00456C4A" w:rsidP="00FD3B6A">
            <w:pPr>
              <w:spacing w:after="0"/>
              <w:jc w:val="center"/>
              <w:rPr>
                <w:rFonts w:eastAsia="Times New Roman" w:cs="Arial"/>
                <w:b/>
                <w:bCs/>
                <w:color w:val="FFFFFF"/>
                <w:sz w:val="20"/>
                <w:lang w:eastAsia="en-GB"/>
              </w:rPr>
            </w:pPr>
          </w:p>
        </w:tc>
        <w:tc>
          <w:tcPr>
            <w:tcW w:w="1420" w:type="dxa"/>
            <w:vMerge/>
            <w:vAlign w:val="center"/>
            <w:hideMark/>
          </w:tcPr>
          <w:p w14:paraId="77B7ECFC" w14:textId="672A237C" w:rsidR="00456C4A" w:rsidRPr="00015203" w:rsidRDefault="00456C4A" w:rsidP="00196714">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auto" w:fill="FFFFFF" w:themeFill="background1"/>
            <w:vAlign w:val="center"/>
            <w:hideMark/>
          </w:tcPr>
          <w:p w14:paraId="660B7C00"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Experts in plumbing, heating, and ventilation are required for the installation of heat pumps and more efficient boilers.</w:t>
            </w:r>
          </w:p>
        </w:tc>
      </w:tr>
      <w:tr w:rsidR="00456C4A" w:rsidRPr="00015203" w14:paraId="3A9F325C" w14:textId="77777777" w:rsidTr="096B2833">
        <w:trPr>
          <w:trHeight w:val="1215"/>
          <w:jc w:val="center"/>
        </w:trPr>
        <w:tc>
          <w:tcPr>
            <w:tcW w:w="11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78AECBF5"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5317</w:t>
            </w:r>
          </w:p>
        </w:tc>
        <w:tc>
          <w:tcPr>
            <w:tcW w:w="1584" w:type="dxa"/>
            <w:tcBorders>
              <w:top w:val="nil"/>
              <w:left w:val="nil"/>
              <w:bottom w:val="single" w:sz="8" w:space="0" w:color="auto"/>
              <w:right w:val="single" w:sz="8" w:space="0" w:color="auto"/>
            </w:tcBorders>
            <w:shd w:val="clear" w:color="auto" w:fill="FFFFFF" w:themeFill="background1"/>
            <w:vAlign w:val="center"/>
            <w:hideMark/>
          </w:tcPr>
          <w:p w14:paraId="64D37A1A"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Glaziers, window fabricators and fitters</w:t>
            </w:r>
          </w:p>
        </w:tc>
        <w:tc>
          <w:tcPr>
            <w:tcW w:w="1517" w:type="dxa"/>
            <w:vMerge/>
            <w:noWrap/>
            <w:vAlign w:val="center"/>
            <w:hideMark/>
          </w:tcPr>
          <w:p w14:paraId="20001A47" w14:textId="06B6530C" w:rsidR="00456C4A" w:rsidRPr="00015203" w:rsidRDefault="00456C4A" w:rsidP="00FD3B6A">
            <w:pPr>
              <w:spacing w:after="0"/>
              <w:jc w:val="center"/>
              <w:rPr>
                <w:rFonts w:eastAsia="Times New Roman" w:cs="Arial"/>
                <w:b/>
                <w:bCs/>
                <w:color w:val="FFFFFF"/>
                <w:sz w:val="20"/>
                <w:lang w:eastAsia="en-GB"/>
              </w:rPr>
            </w:pPr>
          </w:p>
        </w:tc>
        <w:tc>
          <w:tcPr>
            <w:tcW w:w="1420" w:type="dxa"/>
            <w:vMerge/>
            <w:vAlign w:val="center"/>
            <w:hideMark/>
          </w:tcPr>
          <w:p w14:paraId="3EFCDFAC" w14:textId="0B6EF955" w:rsidR="00456C4A" w:rsidRPr="00015203" w:rsidRDefault="00456C4A" w:rsidP="00196714">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auto" w:fill="FFFFFF" w:themeFill="background1"/>
            <w:vAlign w:val="center"/>
            <w:hideMark/>
          </w:tcPr>
          <w:p w14:paraId="061DA713" w14:textId="0B9731E1" w:rsidR="00456C4A" w:rsidRPr="00015203" w:rsidRDefault="0B1D88B3" w:rsidP="0A304D10">
            <w:pPr>
              <w:spacing w:after="0"/>
              <w:jc w:val="center"/>
              <w:rPr>
                <w:rFonts w:eastAsia="Times New Roman" w:cs="Arial"/>
                <w:color w:val="000000"/>
                <w:sz w:val="20"/>
                <w:lang w:eastAsia="en-GB"/>
              </w:rPr>
            </w:pPr>
            <w:r w:rsidRPr="096B2833">
              <w:rPr>
                <w:rFonts w:eastAsia="Times New Roman" w:cs="Arial"/>
                <w:color w:val="000000" w:themeColor="text1"/>
                <w:sz w:val="20"/>
                <w:lang w:eastAsia="en-GB"/>
              </w:rPr>
              <w:t xml:space="preserve">Windows are another area of significant heat loss. Installation of </w:t>
            </w:r>
            <w:r w:rsidR="000A48B9" w:rsidRPr="096B2833">
              <w:rPr>
                <w:rFonts w:eastAsia="Times New Roman" w:cs="Arial"/>
                <w:color w:val="000000" w:themeColor="text1"/>
                <w:sz w:val="20"/>
                <w:lang w:eastAsia="en-GB"/>
              </w:rPr>
              <w:t>double</w:t>
            </w:r>
            <w:r w:rsidR="000A48B9">
              <w:rPr>
                <w:rFonts w:eastAsia="Times New Roman" w:cs="Arial"/>
                <w:color w:val="000000" w:themeColor="text1"/>
                <w:sz w:val="20"/>
                <w:lang w:eastAsia="en-GB"/>
              </w:rPr>
              <w:t xml:space="preserve"> </w:t>
            </w:r>
            <w:r w:rsidR="000A48B9" w:rsidRPr="007D3EAC">
              <w:rPr>
                <w:rFonts w:eastAsia="Times New Roman" w:cs="Arial"/>
                <w:color w:val="000000" w:themeColor="text1"/>
                <w:sz w:val="20"/>
                <w:lang w:eastAsia="en-GB"/>
              </w:rPr>
              <w:t>and triple</w:t>
            </w:r>
            <w:r w:rsidR="000A48B9" w:rsidRPr="096B2833">
              <w:rPr>
                <w:rFonts w:eastAsia="Times New Roman" w:cs="Arial"/>
                <w:color w:val="000000" w:themeColor="text1"/>
                <w:sz w:val="20"/>
                <w:lang w:eastAsia="en-GB"/>
              </w:rPr>
              <w:t xml:space="preserve"> glazing </w:t>
            </w:r>
            <w:r w:rsidRPr="096B2833">
              <w:rPr>
                <w:rFonts w:eastAsia="Times New Roman" w:cs="Arial"/>
                <w:color w:val="000000" w:themeColor="text1"/>
                <w:sz w:val="20"/>
                <w:lang w:eastAsia="en-GB"/>
              </w:rPr>
              <w:t>is a key retrofit operation.</w:t>
            </w:r>
          </w:p>
        </w:tc>
      </w:tr>
      <w:tr w:rsidR="00456C4A" w:rsidRPr="00015203" w14:paraId="1D54F65F" w14:textId="77777777" w:rsidTr="096B2833">
        <w:trPr>
          <w:trHeight w:val="1215"/>
          <w:jc w:val="center"/>
        </w:trPr>
        <w:tc>
          <w:tcPr>
            <w:tcW w:w="11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085BBE94"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5319</w:t>
            </w:r>
          </w:p>
        </w:tc>
        <w:tc>
          <w:tcPr>
            <w:tcW w:w="1584" w:type="dxa"/>
            <w:tcBorders>
              <w:top w:val="nil"/>
              <w:left w:val="nil"/>
              <w:bottom w:val="single" w:sz="8" w:space="0" w:color="auto"/>
              <w:right w:val="single" w:sz="8" w:space="0" w:color="auto"/>
            </w:tcBorders>
            <w:shd w:val="clear" w:color="auto" w:fill="FFFFFF" w:themeFill="background1"/>
            <w:vAlign w:val="center"/>
            <w:hideMark/>
          </w:tcPr>
          <w:p w14:paraId="42AAEE5C"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Construction and building trades n.e.c.</w:t>
            </w:r>
          </w:p>
        </w:tc>
        <w:tc>
          <w:tcPr>
            <w:tcW w:w="1517" w:type="dxa"/>
            <w:vMerge/>
            <w:noWrap/>
            <w:vAlign w:val="center"/>
            <w:hideMark/>
          </w:tcPr>
          <w:p w14:paraId="32871AE9" w14:textId="1FE82180" w:rsidR="00456C4A" w:rsidRPr="00015203" w:rsidRDefault="00456C4A" w:rsidP="00FD3B6A">
            <w:pPr>
              <w:spacing w:after="0"/>
              <w:jc w:val="center"/>
              <w:rPr>
                <w:rFonts w:eastAsia="Times New Roman" w:cs="Arial"/>
                <w:b/>
                <w:bCs/>
                <w:color w:val="FFFFFF"/>
                <w:sz w:val="20"/>
                <w:lang w:eastAsia="en-GB"/>
              </w:rPr>
            </w:pPr>
          </w:p>
        </w:tc>
        <w:tc>
          <w:tcPr>
            <w:tcW w:w="1420" w:type="dxa"/>
            <w:vMerge/>
            <w:vAlign w:val="center"/>
            <w:hideMark/>
          </w:tcPr>
          <w:p w14:paraId="04202E2C" w14:textId="59365685" w:rsidR="00456C4A" w:rsidRPr="00015203" w:rsidRDefault="00456C4A" w:rsidP="00196714">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auto" w:fill="FFFFFF" w:themeFill="background1"/>
            <w:vAlign w:val="center"/>
            <w:hideMark/>
          </w:tcPr>
          <w:p w14:paraId="6197F312"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Includes insulation installers, which merits the inclusion of this more general category as a core role.</w:t>
            </w:r>
          </w:p>
        </w:tc>
      </w:tr>
      <w:tr w:rsidR="00456C4A" w:rsidRPr="00015203" w14:paraId="458AB7BE" w14:textId="77777777" w:rsidTr="096B2833">
        <w:trPr>
          <w:trHeight w:val="1215"/>
          <w:jc w:val="center"/>
        </w:trPr>
        <w:tc>
          <w:tcPr>
            <w:tcW w:w="1100" w:type="dxa"/>
            <w:tcBorders>
              <w:top w:val="nil"/>
              <w:left w:val="single" w:sz="8" w:space="0" w:color="auto"/>
              <w:bottom w:val="single" w:sz="8" w:space="0" w:color="auto"/>
              <w:right w:val="single" w:sz="8" w:space="0" w:color="auto"/>
            </w:tcBorders>
            <w:shd w:val="clear" w:color="auto" w:fill="FFFFFF" w:themeFill="background1"/>
            <w:vAlign w:val="center"/>
            <w:hideMark/>
          </w:tcPr>
          <w:p w14:paraId="72C89A1A"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5313</w:t>
            </w:r>
          </w:p>
        </w:tc>
        <w:tc>
          <w:tcPr>
            <w:tcW w:w="1584" w:type="dxa"/>
            <w:tcBorders>
              <w:top w:val="nil"/>
              <w:left w:val="nil"/>
              <w:bottom w:val="single" w:sz="8" w:space="0" w:color="auto"/>
              <w:right w:val="single" w:sz="8" w:space="0" w:color="auto"/>
            </w:tcBorders>
            <w:shd w:val="clear" w:color="auto" w:fill="FFFFFF" w:themeFill="background1"/>
            <w:vAlign w:val="center"/>
            <w:hideMark/>
          </w:tcPr>
          <w:p w14:paraId="14CCCA50"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Bricklayers</w:t>
            </w:r>
          </w:p>
        </w:tc>
        <w:tc>
          <w:tcPr>
            <w:tcW w:w="1517" w:type="dxa"/>
            <w:vMerge/>
            <w:noWrap/>
            <w:vAlign w:val="center"/>
            <w:hideMark/>
          </w:tcPr>
          <w:p w14:paraId="0F7A2413" w14:textId="40EAABFA" w:rsidR="00456C4A" w:rsidRPr="00015203" w:rsidRDefault="00456C4A" w:rsidP="00FD3B6A">
            <w:pPr>
              <w:spacing w:after="0"/>
              <w:jc w:val="center"/>
              <w:rPr>
                <w:rFonts w:eastAsia="Times New Roman" w:cs="Arial"/>
                <w:b/>
                <w:bCs/>
                <w:color w:val="FFFFFF"/>
                <w:sz w:val="20"/>
                <w:lang w:eastAsia="en-GB"/>
              </w:rPr>
            </w:pPr>
          </w:p>
        </w:tc>
        <w:tc>
          <w:tcPr>
            <w:tcW w:w="1420" w:type="dxa"/>
            <w:vMerge w:val="restart"/>
            <w:tcBorders>
              <w:top w:val="nil"/>
              <w:left w:val="nil"/>
              <w:right w:val="single" w:sz="8" w:space="0" w:color="auto"/>
            </w:tcBorders>
            <w:shd w:val="clear" w:color="auto" w:fill="28EAFF"/>
            <w:vAlign w:val="center"/>
            <w:hideMark/>
          </w:tcPr>
          <w:p w14:paraId="5BC6AB8B" w14:textId="5ECF9ABC" w:rsidR="00456C4A" w:rsidRPr="00015203" w:rsidRDefault="00456C4A" w:rsidP="00456C4A">
            <w:pPr>
              <w:spacing w:after="0"/>
              <w:jc w:val="center"/>
              <w:rPr>
                <w:rFonts w:eastAsia="Times New Roman" w:cs="Arial"/>
                <w:b/>
                <w:bCs/>
                <w:color w:val="auto"/>
                <w:sz w:val="20"/>
                <w:lang w:eastAsia="en-GB"/>
              </w:rPr>
            </w:pPr>
            <w:r w:rsidRPr="00015203">
              <w:rPr>
                <w:rFonts w:eastAsia="Times New Roman" w:cs="Arial"/>
                <w:b/>
                <w:bCs/>
                <w:color w:val="auto"/>
                <w:sz w:val="20"/>
                <w:lang w:eastAsia="en-GB"/>
              </w:rPr>
              <w:t>Support</w:t>
            </w:r>
          </w:p>
        </w:tc>
        <w:tc>
          <w:tcPr>
            <w:tcW w:w="4720" w:type="dxa"/>
            <w:tcBorders>
              <w:top w:val="nil"/>
              <w:left w:val="nil"/>
              <w:bottom w:val="single" w:sz="8" w:space="0" w:color="auto"/>
              <w:right w:val="single" w:sz="8" w:space="0" w:color="auto"/>
            </w:tcBorders>
            <w:shd w:val="clear" w:color="auto" w:fill="FFFFFF" w:themeFill="background1"/>
            <w:vAlign w:val="center"/>
            <w:hideMark/>
          </w:tcPr>
          <w:p w14:paraId="6FAFC7A3" w14:textId="0DBD971F"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 xml:space="preserve">Installation of new brick structures following retrofit installation is a key requirement for many retrofit projects. </w:t>
            </w:r>
          </w:p>
        </w:tc>
      </w:tr>
      <w:tr w:rsidR="00456C4A" w:rsidRPr="00015203" w14:paraId="03775F87" w14:textId="77777777" w:rsidTr="096B2833">
        <w:trPr>
          <w:trHeight w:val="1215"/>
          <w:jc w:val="center"/>
        </w:trPr>
        <w:tc>
          <w:tcPr>
            <w:tcW w:w="1100" w:type="dxa"/>
            <w:tcBorders>
              <w:top w:val="nil"/>
              <w:left w:val="single" w:sz="8" w:space="0" w:color="auto"/>
              <w:bottom w:val="single" w:sz="4" w:space="0" w:color="auto"/>
              <w:right w:val="single" w:sz="8" w:space="0" w:color="auto"/>
            </w:tcBorders>
            <w:shd w:val="clear" w:color="auto" w:fill="FFFFFF" w:themeFill="background1"/>
            <w:vAlign w:val="center"/>
            <w:hideMark/>
          </w:tcPr>
          <w:p w14:paraId="75B7D3DB"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5316</w:t>
            </w:r>
          </w:p>
        </w:tc>
        <w:tc>
          <w:tcPr>
            <w:tcW w:w="1584" w:type="dxa"/>
            <w:tcBorders>
              <w:top w:val="nil"/>
              <w:left w:val="nil"/>
              <w:bottom w:val="single" w:sz="4" w:space="0" w:color="auto"/>
              <w:right w:val="single" w:sz="8" w:space="0" w:color="auto"/>
            </w:tcBorders>
            <w:shd w:val="clear" w:color="auto" w:fill="FFFFFF" w:themeFill="background1"/>
            <w:vAlign w:val="center"/>
            <w:hideMark/>
          </w:tcPr>
          <w:p w14:paraId="28475E9D"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Carpenters and joiners</w:t>
            </w:r>
          </w:p>
        </w:tc>
        <w:tc>
          <w:tcPr>
            <w:tcW w:w="1517" w:type="dxa"/>
            <w:vMerge/>
            <w:noWrap/>
            <w:vAlign w:val="center"/>
            <w:hideMark/>
          </w:tcPr>
          <w:p w14:paraId="55056FCC" w14:textId="123F0CAC" w:rsidR="00456C4A" w:rsidRPr="00015203" w:rsidRDefault="00456C4A" w:rsidP="00FD3B6A">
            <w:pPr>
              <w:spacing w:after="0"/>
              <w:jc w:val="center"/>
              <w:rPr>
                <w:rFonts w:eastAsia="Times New Roman" w:cs="Arial"/>
                <w:b/>
                <w:bCs/>
                <w:color w:val="FFFFFF"/>
                <w:sz w:val="20"/>
                <w:lang w:eastAsia="en-GB"/>
              </w:rPr>
            </w:pPr>
          </w:p>
        </w:tc>
        <w:tc>
          <w:tcPr>
            <w:tcW w:w="1420" w:type="dxa"/>
            <w:vMerge/>
            <w:vAlign w:val="center"/>
            <w:hideMark/>
          </w:tcPr>
          <w:p w14:paraId="4C9EB8E1" w14:textId="2C81F6AD"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4" w:space="0" w:color="auto"/>
              <w:right w:val="single" w:sz="8" w:space="0" w:color="auto"/>
            </w:tcBorders>
            <w:shd w:val="clear" w:color="auto" w:fill="FFFFFF" w:themeFill="background1"/>
            <w:vAlign w:val="center"/>
            <w:hideMark/>
          </w:tcPr>
          <w:p w14:paraId="00276C6E" w14:textId="77777777" w:rsidR="00456C4A" w:rsidRPr="00015203" w:rsidRDefault="00456C4A" w:rsidP="00196714">
            <w:pPr>
              <w:spacing w:after="0"/>
              <w:jc w:val="center"/>
              <w:rPr>
                <w:rFonts w:eastAsia="Times New Roman" w:cs="Arial"/>
                <w:color w:val="000000"/>
                <w:sz w:val="20"/>
                <w:lang w:eastAsia="en-GB"/>
              </w:rPr>
            </w:pPr>
            <w:r w:rsidRPr="00015203">
              <w:rPr>
                <w:rFonts w:eastAsia="Times New Roman" w:cs="Arial"/>
                <w:color w:val="000000"/>
                <w:sz w:val="20"/>
                <w:lang w:eastAsia="en-GB"/>
              </w:rPr>
              <w:t>While not directly involved in retrofit installation, homes often need to be adapted to having new decarbonised infrastructure, requiring these workers.</w:t>
            </w:r>
          </w:p>
        </w:tc>
      </w:tr>
      <w:tr w:rsidR="00456C4A" w:rsidRPr="00015203" w14:paraId="6B319C16" w14:textId="77777777" w:rsidTr="096B2833">
        <w:trPr>
          <w:trHeight w:val="1215"/>
          <w:jc w:val="center"/>
        </w:trPr>
        <w:tc>
          <w:tcPr>
            <w:tcW w:w="11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BC2FE5E" w14:textId="1E54010E"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5321</w:t>
            </w:r>
          </w:p>
        </w:tc>
        <w:tc>
          <w:tcPr>
            <w:tcW w:w="15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A55FF3" w14:textId="17B941D8"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Plasterers</w:t>
            </w:r>
          </w:p>
        </w:tc>
        <w:tc>
          <w:tcPr>
            <w:tcW w:w="1517" w:type="dxa"/>
            <w:vMerge/>
            <w:noWrap/>
            <w:vAlign w:val="center"/>
          </w:tcPr>
          <w:p w14:paraId="0D5EB43D" w14:textId="52715831" w:rsidR="00456C4A" w:rsidRPr="00015203" w:rsidRDefault="00456C4A" w:rsidP="00FD3B6A">
            <w:pPr>
              <w:spacing w:after="0"/>
              <w:jc w:val="center"/>
              <w:rPr>
                <w:rFonts w:eastAsia="Times New Roman" w:cs="Arial"/>
                <w:b/>
                <w:bCs/>
                <w:color w:val="FFFFFF"/>
                <w:sz w:val="20"/>
                <w:lang w:eastAsia="en-GB"/>
              </w:rPr>
            </w:pPr>
          </w:p>
        </w:tc>
        <w:tc>
          <w:tcPr>
            <w:tcW w:w="1420" w:type="dxa"/>
            <w:vMerge/>
            <w:vAlign w:val="center"/>
          </w:tcPr>
          <w:p w14:paraId="05353C2A" w14:textId="0CE7A10D" w:rsidR="00456C4A" w:rsidRPr="00015203" w:rsidRDefault="00456C4A" w:rsidP="00FD3B6A">
            <w:pPr>
              <w:spacing w:after="0"/>
              <w:jc w:val="center"/>
              <w:rPr>
                <w:rFonts w:eastAsia="Times New Roman" w:cs="Arial"/>
                <w:b/>
                <w:bCs/>
                <w:color w:val="auto"/>
                <w:sz w:val="20"/>
                <w:lang w:eastAsia="en-GB"/>
              </w:rPr>
            </w:pPr>
          </w:p>
        </w:tc>
        <w:tc>
          <w:tcPr>
            <w:tcW w:w="4720"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6651CCFB" w14:textId="61FA098A"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Required by clients for house care in the immediate aftermath of a retrofit - essential to the process even if not directly involved in installation.</w:t>
            </w:r>
          </w:p>
        </w:tc>
      </w:tr>
    </w:tbl>
    <w:p w14:paraId="455AA45E" w14:textId="77777777" w:rsidR="00837294" w:rsidRPr="00015203" w:rsidRDefault="00837294">
      <w:r w:rsidRPr="00015203">
        <w:br w:type="page"/>
      </w:r>
    </w:p>
    <w:tbl>
      <w:tblPr>
        <w:tblW w:w="10341" w:type="dxa"/>
        <w:jc w:val="center"/>
        <w:tblCellMar>
          <w:left w:w="0" w:type="dxa"/>
          <w:right w:w="0" w:type="dxa"/>
        </w:tblCellMar>
        <w:tblLook w:val="04A0" w:firstRow="1" w:lastRow="0" w:firstColumn="1" w:lastColumn="0" w:noHBand="0" w:noVBand="1"/>
      </w:tblPr>
      <w:tblGrid>
        <w:gridCol w:w="1100"/>
        <w:gridCol w:w="1584"/>
        <w:gridCol w:w="1517"/>
        <w:gridCol w:w="1420"/>
        <w:gridCol w:w="4720"/>
      </w:tblGrid>
      <w:tr w:rsidR="00837294" w:rsidRPr="00015203" w14:paraId="6BB918A8" w14:textId="77777777" w:rsidTr="00837294">
        <w:trPr>
          <w:trHeight w:val="641"/>
          <w:jc w:val="center"/>
        </w:trPr>
        <w:tc>
          <w:tcPr>
            <w:tcW w:w="1100" w:type="dxa"/>
            <w:tcBorders>
              <w:top w:val="single" w:sz="8" w:space="0" w:color="auto"/>
              <w:left w:val="single" w:sz="8" w:space="0" w:color="auto"/>
              <w:bottom w:val="single" w:sz="8" w:space="0" w:color="auto"/>
              <w:right w:val="single" w:sz="8" w:space="0" w:color="auto"/>
            </w:tcBorders>
            <w:shd w:val="clear" w:color="auto" w:fill="C4BC96" w:themeFill="background2" w:themeFillShade="BF"/>
            <w:vAlign w:val="center"/>
          </w:tcPr>
          <w:p w14:paraId="05B67992" w14:textId="32EE4B5D" w:rsidR="00837294" w:rsidRPr="00015203" w:rsidRDefault="00837294" w:rsidP="00837294">
            <w:pPr>
              <w:spacing w:after="0"/>
              <w:jc w:val="center"/>
              <w:rPr>
                <w:rFonts w:eastAsia="Times New Roman" w:cs="Arial"/>
                <w:color w:val="000000"/>
                <w:sz w:val="20"/>
                <w:lang w:eastAsia="en-GB"/>
              </w:rPr>
            </w:pPr>
            <w:r w:rsidRPr="00015203">
              <w:rPr>
                <w:rFonts w:eastAsia="Times New Roman" w:cs="Arial"/>
                <w:b/>
                <w:bCs/>
                <w:color w:val="auto"/>
                <w:sz w:val="20"/>
                <w:lang w:eastAsia="en-GB"/>
              </w:rPr>
              <w:lastRenderedPageBreak/>
              <w:t>SOC Code</w:t>
            </w:r>
          </w:p>
        </w:tc>
        <w:tc>
          <w:tcPr>
            <w:tcW w:w="1584" w:type="dxa"/>
            <w:tcBorders>
              <w:top w:val="single" w:sz="8" w:space="0" w:color="auto"/>
              <w:left w:val="nil"/>
              <w:bottom w:val="single" w:sz="8" w:space="0" w:color="auto"/>
              <w:right w:val="single" w:sz="8" w:space="0" w:color="auto"/>
            </w:tcBorders>
            <w:shd w:val="clear" w:color="auto" w:fill="C4BC96" w:themeFill="background2" w:themeFillShade="BF"/>
            <w:vAlign w:val="center"/>
          </w:tcPr>
          <w:p w14:paraId="446280D3" w14:textId="49B57BC2" w:rsidR="00837294" w:rsidRPr="00015203" w:rsidRDefault="00837294" w:rsidP="00837294">
            <w:pPr>
              <w:spacing w:after="0"/>
              <w:jc w:val="center"/>
              <w:rPr>
                <w:rFonts w:eastAsia="Times New Roman" w:cs="Arial"/>
                <w:color w:val="000000"/>
                <w:sz w:val="20"/>
                <w:lang w:eastAsia="en-GB"/>
              </w:rPr>
            </w:pPr>
            <w:r w:rsidRPr="00015203">
              <w:rPr>
                <w:rFonts w:eastAsia="Times New Roman" w:cs="Arial"/>
                <w:b/>
                <w:bCs/>
                <w:color w:val="auto"/>
                <w:sz w:val="20"/>
                <w:lang w:eastAsia="en-GB"/>
              </w:rPr>
              <w:t>SOC Name</w:t>
            </w:r>
          </w:p>
        </w:tc>
        <w:tc>
          <w:tcPr>
            <w:tcW w:w="1517" w:type="dxa"/>
            <w:tcBorders>
              <w:top w:val="single" w:sz="8" w:space="0" w:color="auto"/>
              <w:left w:val="nil"/>
              <w:bottom w:val="single" w:sz="8" w:space="0" w:color="auto"/>
              <w:right w:val="single" w:sz="8" w:space="0" w:color="auto"/>
            </w:tcBorders>
            <w:shd w:val="clear" w:color="auto" w:fill="C4BC96" w:themeFill="background2" w:themeFillShade="BF"/>
            <w:noWrap/>
            <w:vAlign w:val="center"/>
          </w:tcPr>
          <w:p w14:paraId="11F4EDA1" w14:textId="53B677F1" w:rsidR="00837294" w:rsidRPr="00015203" w:rsidRDefault="00837294" w:rsidP="00837294">
            <w:pPr>
              <w:spacing w:after="0"/>
              <w:jc w:val="center"/>
              <w:rPr>
                <w:rFonts w:eastAsia="Times New Roman" w:cs="Arial"/>
                <w:color w:val="FFFFFF"/>
                <w:sz w:val="20"/>
                <w:lang w:eastAsia="en-GB"/>
              </w:rPr>
            </w:pPr>
            <w:r w:rsidRPr="00015203">
              <w:rPr>
                <w:rFonts w:eastAsia="Times New Roman" w:cs="Arial"/>
                <w:b/>
                <w:bCs/>
                <w:color w:val="auto"/>
                <w:sz w:val="20"/>
                <w:lang w:eastAsia="en-GB"/>
              </w:rPr>
              <w:t>Classification</w:t>
            </w:r>
          </w:p>
        </w:tc>
        <w:tc>
          <w:tcPr>
            <w:tcW w:w="1420" w:type="dxa"/>
            <w:tcBorders>
              <w:top w:val="single" w:sz="8" w:space="0" w:color="auto"/>
              <w:left w:val="nil"/>
              <w:bottom w:val="single" w:sz="8" w:space="0" w:color="auto"/>
              <w:right w:val="single" w:sz="8" w:space="0" w:color="auto"/>
            </w:tcBorders>
            <w:shd w:val="clear" w:color="auto" w:fill="C4BC96" w:themeFill="background2" w:themeFillShade="BF"/>
            <w:vAlign w:val="center"/>
          </w:tcPr>
          <w:p w14:paraId="7C4CFE32" w14:textId="790CFF3D" w:rsidR="00837294" w:rsidRPr="00015203" w:rsidRDefault="00837294" w:rsidP="00837294">
            <w:pPr>
              <w:spacing w:after="0"/>
              <w:jc w:val="center"/>
              <w:rPr>
                <w:rFonts w:eastAsia="Times New Roman" w:cs="Arial"/>
                <w:color w:val="auto"/>
                <w:sz w:val="20"/>
                <w:lang w:eastAsia="en-GB"/>
              </w:rPr>
            </w:pPr>
            <w:r w:rsidRPr="00015203">
              <w:rPr>
                <w:rFonts w:eastAsia="Times New Roman" w:cs="Arial"/>
                <w:b/>
                <w:bCs/>
                <w:color w:val="auto"/>
                <w:sz w:val="20"/>
                <w:lang w:eastAsia="en-GB"/>
              </w:rPr>
              <w:t>Category</w:t>
            </w:r>
          </w:p>
        </w:tc>
        <w:tc>
          <w:tcPr>
            <w:tcW w:w="4720" w:type="dxa"/>
            <w:tcBorders>
              <w:top w:val="single" w:sz="8" w:space="0" w:color="auto"/>
              <w:left w:val="nil"/>
              <w:bottom w:val="single" w:sz="8" w:space="0" w:color="auto"/>
              <w:right w:val="single" w:sz="8" w:space="0" w:color="auto"/>
            </w:tcBorders>
            <w:shd w:val="clear" w:color="auto" w:fill="C4BC96" w:themeFill="background2" w:themeFillShade="BF"/>
            <w:vAlign w:val="center"/>
          </w:tcPr>
          <w:p w14:paraId="30C0B3A9" w14:textId="1FFACC47" w:rsidR="00837294" w:rsidRPr="00015203" w:rsidRDefault="00837294" w:rsidP="00837294">
            <w:pPr>
              <w:spacing w:after="0"/>
              <w:jc w:val="center"/>
              <w:rPr>
                <w:rFonts w:eastAsia="Times New Roman" w:cs="Arial"/>
                <w:color w:val="000000"/>
                <w:sz w:val="20"/>
                <w:lang w:eastAsia="en-GB"/>
              </w:rPr>
            </w:pPr>
            <w:r w:rsidRPr="00015203">
              <w:rPr>
                <w:rFonts w:eastAsia="Times New Roman" w:cs="Arial"/>
                <w:b/>
                <w:bCs/>
                <w:color w:val="auto"/>
                <w:sz w:val="20"/>
                <w:lang w:eastAsia="en-GB"/>
              </w:rPr>
              <w:t>Justification</w:t>
            </w:r>
          </w:p>
        </w:tc>
      </w:tr>
      <w:tr w:rsidR="00456C4A" w:rsidRPr="00015203" w14:paraId="4009B123" w14:textId="77777777" w:rsidTr="00EF68DE">
        <w:trPr>
          <w:trHeight w:val="1150"/>
          <w:jc w:val="center"/>
        </w:trPr>
        <w:tc>
          <w:tcPr>
            <w:tcW w:w="1100" w:type="dxa"/>
            <w:tcBorders>
              <w:top w:val="nil"/>
              <w:left w:val="single" w:sz="8" w:space="0" w:color="auto"/>
              <w:bottom w:val="single" w:sz="8" w:space="0" w:color="auto"/>
              <w:right w:val="single" w:sz="8" w:space="0" w:color="auto"/>
            </w:tcBorders>
            <w:shd w:val="clear" w:color="000000" w:fill="FFFFFF"/>
            <w:vAlign w:val="center"/>
          </w:tcPr>
          <w:p w14:paraId="022C2424" w14:textId="22B5E7E8"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5322</w:t>
            </w:r>
          </w:p>
        </w:tc>
        <w:tc>
          <w:tcPr>
            <w:tcW w:w="1584" w:type="dxa"/>
            <w:tcBorders>
              <w:top w:val="nil"/>
              <w:left w:val="nil"/>
              <w:bottom w:val="single" w:sz="8" w:space="0" w:color="auto"/>
              <w:right w:val="single" w:sz="8" w:space="0" w:color="auto"/>
            </w:tcBorders>
            <w:shd w:val="clear" w:color="000000" w:fill="FFFFFF"/>
            <w:vAlign w:val="center"/>
          </w:tcPr>
          <w:p w14:paraId="72733684" w14:textId="378E7FFB"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Floorers and wall tilers</w:t>
            </w:r>
          </w:p>
        </w:tc>
        <w:tc>
          <w:tcPr>
            <w:tcW w:w="1517" w:type="dxa"/>
            <w:vMerge w:val="restart"/>
            <w:tcBorders>
              <w:top w:val="nil"/>
              <w:left w:val="nil"/>
              <w:right w:val="single" w:sz="8" w:space="0" w:color="auto"/>
            </w:tcBorders>
            <w:shd w:val="clear" w:color="000000" w:fill="006773"/>
            <w:noWrap/>
            <w:vAlign w:val="center"/>
          </w:tcPr>
          <w:p w14:paraId="48FF640F" w14:textId="1A21653B" w:rsidR="00456C4A" w:rsidRPr="00015203" w:rsidRDefault="00456C4A" w:rsidP="00456C4A">
            <w:pPr>
              <w:spacing w:after="0"/>
              <w:jc w:val="center"/>
              <w:rPr>
                <w:rFonts w:eastAsia="Times New Roman" w:cs="Arial"/>
                <w:b/>
                <w:bCs/>
                <w:color w:val="FFFFFF"/>
                <w:sz w:val="20"/>
                <w:lang w:eastAsia="en-GB"/>
              </w:rPr>
            </w:pPr>
            <w:r w:rsidRPr="00015203">
              <w:rPr>
                <w:rFonts w:eastAsia="Times New Roman" w:cs="Arial"/>
                <w:b/>
                <w:bCs/>
                <w:color w:val="FFFFFF"/>
                <w:sz w:val="20"/>
                <w:lang w:eastAsia="en-GB"/>
              </w:rPr>
              <w:t>Core</w:t>
            </w:r>
          </w:p>
        </w:tc>
        <w:tc>
          <w:tcPr>
            <w:tcW w:w="1420" w:type="dxa"/>
            <w:vMerge w:val="restart"/>
            <w:tcBorders>
              <w:top w:val="nil"/>
              <w:left w:val="nil"/>
              <w:right w:val="single" w:sz="8" w:space="0" w:color="auto"/>
            </w:tcBorders>
            <w:shd w:val="clear" w:color="000000" w:fill="28EAFF"/>
            <w:vAlign w:val="center"/>
          </w:tcPr>
          <w:p w14:paraId="08AE78D5" w14:textId="31D2C271" w:rsidR="00456C4A" w:rsidRPr="00015203" w:rsidRDefault="00456C4A" w:rsidP="00456C4A">
            <w:pPr>
              <w:spacing w:after="0"/>
              <w:jc w:val="center"/>
              <w:rPr>
                <w:rFonts w:eastAsia="Times New Roman" w:cs="Arial"/>
                <w:b/>
                <w:bCs/>
                <w:color w:val="auto"/>
                <w:sz w:val="20"/>
                <w:lang w:eastAsia="en-GB"/>
              </w:rPr>
            </w:pPr>
            <w:r w:rsidRPr="00015203">
              <w:rPr>
                <w:rFonts w:eastAsia="Times New Roman" w:cs="Arial"/>
                <w:b/>
                <w:bCs/>
                <w:color w:val="auto"/>
                <w:sz w:val="20"/>
                <w:lang w:eastAsia="en-GB"/>
              </w:rPr>
              <w:t>Support</w:t>
            </w:r>
          </w:p>
        </w:tc>
        <w:tc>
          <w:tcPr>
            <w:tcW w:w="4720" w:type="dxa"/>
            <w:tcBorders>
              <w:top w:val="nil"/>
              <w:left w:val="nil"/>
              <w:bottom w:val="single" w:sz="8" w:space="0" w:color="auto"/>
              <w:right w:val="single" w:sz="8" w:space="0" w:color="auto"/>
            </w:tcBorders>
            <w:shd w:val="clear" w:color="000000" w:fill="FFFFFF"/>
            <w:vAlign w:val="center"/>
          </w:tcPr>
          <w:p w14:paraId="285E2DA4" w14:textId="2D44E88B"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Heat pumps are often linked to underfloor heating, so the inclusion of floorers is warranted.</w:t>
            </w:r>
          </w:p>
        </w:tc>
      </w:tr>
      <w:tr w:rsidR="00456C4A" w:rsidRPr="00015203" w14:paraId="4F5F4203" w14:textId="77777777" w:rsidTr="00EF68DE">
        <w:trPr>
          <w:trHeight w:val="115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4A45B9D6"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5323</w:t>
            </w:r>
          </w:p>
        </w:tc>
        <w:tc>
          <w:tcPr>
            <w:tcW w:w="1584" w:type="dxa"/>
            <w:tcBorders>
              <w:top w:val="nil"/>
              <w:left w:val="nil"/>
              <w:bottom w:val="single" w:sz="8" w:space="0" w:color="auto"/>
              <w:right w:val="single" w:sz="8" w:space="0" w:color="auto"/>
            </w:tcBorders>
            <w:shd w:val="clear" w:color="000000" w:fill="FFFFFF"/>
            <w:vAlign w:val="center"/>
            <w:hideMark/>
          </w:tcPr>
          <w:p w14:paraId="6FF7297F"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Painters and decorators</w:t>
            </w:r>
          </w:p>
        </w:tc>
        <w:tc>
          <w:tcPr>
            <w:tcW w:w="1517" w:type="dxa"/>
            <w:vMerge/>
            <w:tcBorders>
              <w:left w:val="nil"/>
              <w:right w:val="single" w:sz="8" w:space="0" w:color="auto"/>
            </w:tcBorders>
            <w:shd w:val="clear" w:color="000000" w:fill="006773"/>
            <w:noWrap/>
            <w:vAlign w:val="center"/>
            <w:hideMark/>
          </w:tcPr>
          <w:p w14:paraId="77FFD668" w14:textId="701F7B1F"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000000" w:fill="28EAFF"/>
            <w:vAlign w:val="center"/>
            <w:hideMark/>
          </w:tcPr>
          <w:p w14:paraId="2CD15BED" w14:textId="0DD42EFE"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76C06E95" w14:textId="6EAEF8AB"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Similar to plasterers, this is an essential occupation; homeowners will not undertake retrofit projects without additional work to redo the home afterwards.</w:t>
            </w:r>
          </w:p>
        </w:tc>
      </w:tr>
      <w:tr w:rsidR="00456C4A" w:rsidRPr="00015203" w14:paraId="54B00967" w14:textId="77777777" w:rsidTr="00EF68DE">
        <w:trPr>
          <w:trHeight w:val="115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14745EE9"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9129</w:t>
            </w:r>
          </w:p>
        </w:tc>
        <w:tc>
          <w:tcPr>
            <w:tcW w:w="1584" w:type="dxa"/>
            <w:tcBorders>
              <w:top w:val="nil"/>
              <w:left w:val="nil"/>
              <w:bottom w:val="single" w:sz="8" w:space="0" w:color="auto"/>
              <w:right w:val="single" w:sz="8" w:space="0" w:color="auto"/>
            </w:tcBorders>
            <w:shd w:val="clear" w:color="000000" w:fill="FFFFFF"/>
            <w:vAlign w:val="center"/>
            <w:hideMark/>
          </w:tcPr>
          <w:p w14:paraId="4F69C0BF"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Elementary construction operatives n.e.c.</w:t>
            </w:r>
          </w:p>
        </w:tc>
        <w:tc>
          <w:tcPr>
            <w:tcW w:w="1517" w:type="dxa"/>
            <w:vMerge/>
            <w:tcBorders>
              <w:left w:val="nil"/>
              <w:right w:val="single" w:sz="8" w:space="0" w:color="auto"/>
            </w:tcBorders>
            <w:shd w:val="clear" w:color="000000" w:fill="006773"/>
            <w:noWrap/>
            <w:vAlign w:val="center"/>
            <w:hideMark/>
          </w:tcPr>
          <w:p w14:paraId="271450C1" w14:textId="794C0721"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bottom w:val="single" w:sz="8" w:space="0" w:color="auto"/>
              <w:right w:val="single" w:sz="8" w:space="0" w:color="auto"/>
            </w:tcBorders>
            <w:shd w:val="clear" w:color="000000" w:fill="28EAFF"/>
            <w:vAlign w:val="center"/>
            <w:hideMark/>
          </w:tcPr>
          <w:p w14:paraId="516ACF22" w14:textId="6CE3164A"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09992F16"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Elementary manual labour is often required alongside the higher skilled professions in retrofit.</w:t>
            </w:r>
          </w:p>
        </w:tc>
      </w:tr>
      <w:tr w:rsidR="00456C4A" w:rsidRPr="00015203" w14:paraId="405EEE48" w14:textId="77777777" w:rsidTr="00EF68DE">
        <w:trPr>
          <w:trHeight w:val="115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006586EB"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2121</w:t>
            </w:r>
          </w:p>
        </w:tc>
        <w:tc>
          <w:tcPr>
            <w:tcW w:w="1584" w:type="dxa"/>
            <w:tcBorders>
              <w:top w:val="nil"/>
              <w:left w:val="nil"/>
              <w:bottom w:val="single" w:sz="8" w:space="0" w:color="auto"/>
              <w:right w:val="single" w:sz="8" w:space="0" w:color="auto"/>
            </w:tcBorders>
            <w:shd w:val="clear" w:color="000000" w:fill="FFFFFF"/>
            <w:vAlign w:val="center"/>
            <w:hideMark/>
          </w:tcPr>
          <w:p w14:paraId="51F59852" w14:textId="25E04194" w:rsidR="0092301F" w:rsidRPr="0092301F" w:rsidRDefault="00456C4A" w:rsidP="0092301F">
            <w:pPr>
              <w:spacing w:after="0"/>
              <w:jc w:val="center"/>
              <w:rPr>
                <w:rFonts w:eastAsia="Times New Roman" w:cs="Arial"/>
                <w:color w:val="000000"/>
                <w:sz w:val="20"/>
                <w:lang w:eastAsia="en-GB"/>
              </w:rPr>
            </w:pPr>
            <w:r w:rsidRPr="00015203">
              <w:rPr>
                <w:rFonts w:eastAsia="Times New Roman" w:cs="Arial"/>
                <w:color w:val="000000"/>
                <w:sz w:val="20"/>
                <w:lang w:eastAsia="en-GB"/>
              </w:rPr>
              <w:t>Civil Engineers</w:t>
            </w:r>
          </w:p>
        </w:tc>
        <w:tc>
          <w:tcPr>
            <w:tcW w:w="1517" w:type="dxa"/>
            <w:vMerge/>
            <w:tcBorders>
              <w:left w:val="nil"/>
              <w:right w:val="single" w:sz="8" w:space="0" w:color="auto"/>
            </w:tcBorders>
            <w:shd w:val="clear" w:color="000000" w:fill="006773"/>
            <w:noWrap/>
            <w:vAlign w:val="center"/>
            <w:hideMark/>
          </w:tcPr>
          <w:p w14:paraId="55E16F69" w14:textId="00D1950F" w:rsidR="00456C4A" w:rsidRPr="00015203" w:rsidRDefault="00456C4A" w:rsidP="00FD3B6A">
            <w:pPr>
              <w:spacing w:after="0"/>
              <w:jc w:val="center"/>
              <w:rPr>
                <w:rFonts w:eastAsia="Times New Roman" w:cs="Arial"/>
                <w:b/>
                <w:bCs/>
                <w:color w:val="FFFFFF"/>
                <w:sz w:val="20"/>
                <w:lang w:eastAsia="en-GB"/>
              </w:rPr>
            </w:pPr>
          </w:p>
        </w:tc>
        <w:tc>
          <w:tcPr>
            <w:tcW w:w="1420" w:type="dxa"/>
            <w:vMerge w:val="restart"/>
            <w:tcBorders>
              <w:top w:val="nil"/>
              <w:left w:val="nil"/>
              <w:right w:val="single" w:sz="8" w:space="0" w:color="auto"/>
            </w:tcBorders>
            <w:shd w:val="clear" w:color="000000" w:fill="B7F8FF"/>
            <w:vAlign w:val="center"/>
            <w:hideMark/>
          </w:tcPr>
          <w:p w14:paraId="447BED68" w14:textId="108A8B7A" w:rsidR="00456C4A" w:rsidRPr="00015203" w:rsidRDefault="00456C4A" w:rsidP="00456C4A">
            <w:pPr>
              <w:spacing w:after="0"/>
              <w:jc w:val="center"/>
              <w:rPr>
                <w:rFonts w:eastAsia="Times New Roman" w:cs="Arial"/>
                <w:b/>
                <w:bCs/>
                <w:color w:val="auto"/>
                <w:sz w:val="20"/>
                <w:lang w:eastAsia="en-GB"/>
              </w:rPr>
            </w:pPr>
            <w:r w:rsidRPr="00015203">
              <w:rPr>
                <w:rFonts w:eastAsia="Times New Roman" w:cs="Arial"/>
                <w:b/>
                <w:bCs/>
                <w:color w:val="auto"/>
                <w:sz w:val="20"/>
                <w:lang w:eastAsia="en-GB"/>
              </w:rPr>
              <w:t>Supervisory</w:t>
            </w:r>
          </w:p>
        </w:tc>
        <w:tc>
          <w:tcPr>
            <w:tcW w:w="4720" w:type="dxa"/>
            <w:tcBorders>
              <w:top w:val="nil"/>
              <w:left w:val="nil"/>
              <w:bottom w:val="single" w:sz="8" w:space="0" w:color="auto"/>
              <w:right w:val="single" w:sz="8" w:space="0" w:color="auto"/>
            </w:tcBorders>
            <w:shd w:val="clear" w:color="000000" w:fill="FFFFFF"/>
            <w:vAlign w:val="center"/>
            <w:hideMark/>
          </w:tcPr>
          <w:p w14:paraId="614F7596" w14:textId="0EEACB3C" w:rsidR="00456C4A" w:rsidRPr="00B10DDA" w:rsidRDefault="00456C4A" w:rsidP="00FD3B6A">
            <w:pPr>
              <w:spacing w:after="0"/>
              <w:jc w:val="center"/>
              <w:rPr>
                <w:rFonts w:eastAsia="Times New Roman" w:cs="Arial"/>
                <w:color w:val="000000"/>
                <w:sz w:val="20"/>
                <w:lang w:eastAsia="en-GB"/>
              </w:rPr>
            </w:pPr>
            <w:r w:rsidRPr="00B10DDA">
              <w:rPr>
                <w:rFonts w:eastAsia="Times New Roman" w:cs="Arial"/>
                <w:color w:val="000000"/>
                <w:sz w:val="20"/>
                <w:lang w:eastAsia="en-GB"/>
              </w:rPr>
              <w:t>Consideration for a building's load-bearing capacity is essential as part of retrofitting works.</w:t>
            </w:r>
            <w:r w:rsidR="00D02FC0" w:rsidRPr="00B10DDA">
              <w:rPr>
                <w:rFonts w:eastAsia="Times New Roman" w:cs="Arial"/>
                <w:color w:val="000000"/>
                <w:sz w:val="20"/>
                <w:lang w:eastAsia="en-GB"/>
              </w:rPr>
              <w:t xml:space="preserve"> Civil engineers also possess many of the skills required of retrofit systems designers, as detailed in the PAS 2035 specification.</w:t>
            </w:r>
          </w:p>
        </w:tc>
      </w:tr>
      <w:tr w:rsidR="00456C4A" w:rsidRPr="00015203" w14:paraId="2D91E0FB" w14:textId="77777777" w:rsidTr="00EF68DE">
        <w:trPr>
          <w:trHeight w:val="115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14E8247D"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2123</w:t>
            </w:r>
          </w:p>
        </w:tc>
        <w:tc>
          <w:tcPr>
            <w:tcW w:w="1584" w:type="dxa"/>
            <w:tcBorders>
              <w:top w:val="nil"/>
              <w:left w:val="nil"/>
              <w:bottom w:val="single" w:sz="8" w:space="0" w:color="auto"/>
              <w:right w:val="single" w:sz="8" w:space="0" w:color="auto"/>
            </w:tcBorders>
            <w:shd w:val="clear" w:color="000000" w:fill="FFFFFF"/>
            <w:vAlign w:val="center"/>
            <w:hideMark/>
          </w:tcPr>
          <w:p w14:paraId="28CC8B34"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Electrical engineers</w:t>
            </w:r>
          </w:p>
        </w:tc>
        <w:tc>
          <w:tcPr>
            <w:tcW w:w="1517" w:type="dxa"/>
            <w:vMerge/>
            <w:tcBorders>
              <w:left w:val="nil"/>
              <w:right w:val="single" w:sz="8" w:space="0" w:color="auto"/>
            </w:tcBorders>
            <w:shd w:val="clear" w:color="000000" w:fill="006773"/>
            <w:noWrap/>
            <w:vAlign w:val="center"/>
            <w:hideMark/>
          </w:tcPr>
          <w:p w14:paraId="4A0521C8" w14:textId="2ADC7F3C"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000000" w:fill="B7F8FF"/>
            <w:vAlign w:val="center"/>
            <w:hideMark/>
          </w:tcPr>
          <w:p w14:paraId="41EDD1F8" w14:textId="6371F2DF"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5B9CE88A" w14:textId="1829CE49" w:rsidR="00456C4A" w:rsidRPr="00B10DDA" w:rsidRDefault="00456C4A" w:rsidP="00FD3B6A">
            <w:pPr>
              <w:spacing w:after="0"/>
              <w:jc w:val="center"/>
              <w:rPr>
                <w:rFonts w:eastAsia="Times New Roman" w:cs="Arial"/>
                <w:color w:val="000000"/>
                <w:sz w:val="20"/>
                <w:lang w:eastAsia="en-GB"/>
              </w:rPr>
            </w:pPr>
            <w:r w:rsidRPr="00B10DDA">
              <w:rPr>
                <w:rFonts w:eastAsia="Times New Roman" w:cs="Arial"/>
                <w:color w:val="000000"/>
                <w:sz w:val="20"/>
                <w:lang w:eastAsia="en-GB"/>
              </w:rPr>
              <w:t>Often required to ensure compliance with regulatory standards on a retrofit project, as well as to assist with the design of a house’s electrical infrastructure.</w:t>
            </w:r>
            <w:r w:rsidR="003A4A17" w:rsidRPr="00B10DDA">
              <w:rPr>
                <w:rFonts w:eastAsia="Times New Roman" w:cs="Arial"/>
                <w:color w:val="000000"/>
                <w:sz w:val="20"/>
                <w:lang w:eastAsia="en-GB"/>
              </w:rPr>
              <w:t xml:space="preserve"> For this reason, they are likely to be heavily involved in retrofit systems design.</w:t>
            </w:r>
          </w:p>
        </w:tc>
      </w:tr>
      <w:tr w:rsidR="00456C4A" w:rsidRPr="00015203" w14:paraId="33CE0AA0" w14:textId="77777777" w:rsidTr="00EF68DE">
        <w:trPr>
          <w:trHeight w:val="115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5070D7C5"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2127</w:t>
            </w:r>
          </w:p>
        </w:tc>
        <w:tc>
          <w:tcPr>
            <w:tcW w:w="1584" w:type="dxa"/>
            <w:tcBorders>
              <w:top w:val="nil"/>
              <w:left w:val="nil"/>
              <w:bottom w:val="single" w:sz="8" w:space="0" w:color="auto"/>
              <w:right w:val="single" w:sz="8" w:space="0" w:color="auto"/>
            </w:tcBorders>
            <w:shd w:val="clear" w:color="000000" w:fill="FFFFFF"/>
            <w:vAlign w:val="center"/>
            <w:hideMark/>
          </w:tcPr>
          <w:p w14:paraId="14129190"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Engineering project managers and project engineers</w:t>
            </w:r>
          </w:p>
        </w:tc>
        <w:tc>
          <w:tcPr>
            <w:tcW w:w="1517" w:type="dxa"/>
            <w:vMerge/>
            <w:tcBorders>
              <w:left w:val="nil"/>
              <w:right w:val="single" w:sz="8" w:space="0" w:color="auto"/>
            </w:tcBorders>
            <w:shd w:val="clear" w:color="000000" w:fill="006773"/>
            <w:noWrap/>
            <w:vAlign w:val="center"/>
            <w:hideMark/>
          </w:tcPr>
          <w:p w14:paraId="2766F17E" w14:textId="3DA71828"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000000" w:fill="B7F8FF"/>
            <w:vAlign w:val="center"/>
            <w:hideMark/>
          </w:tcPr>
          <w:p w14:paraId="334B40BF" w14:textId="5FE238AC"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68FFAE49" w14:textId="72B6EF9C" w:rsidR="00456C4A" w:rsidRPr="00B10DDA" w:rsidRDefault="00456C4A" w:rsidP="00FD3B6A">
            <w:pPr>
              <w:spacing w:after="0"/>
              <w:jc w:val="center"/>
              <w:rPr>
                <w:rFonts w:eastAsia="Times New Roman" w:cs="Arial"/>
                <w:color w:val="000000"/>
                <w:sz w:val="20"/>
                <w:lang w:eastAsia="en-GB"/>
              </w:rPr>
            </w:pPr>
            <w:r w:rsidRPr="00B10DDA">
              <w:rPr>
                <w:rFonts w:eastAsia="Times New Roman" w:cs="Arial"/>
                <w:color w:val="000000"/>
                <w:sz w:val="20"/>
                <w:lang w:eastAsia="en-GB"/>
              </w:rPr>
              <w:t>Project managers are essential for ensuring retrofit projects proceed smoothly</w:t>
            </w:r>
            <w:r w:rsidR="00663C31" w:rsidRPr="00B10DDA">
              <w:rPr>
                <w:rFonts w:eastAsia="Times New Roman" w:cs="Arial"/>
                <w:color w:val="000000"/>
                <w:sz w:val="20"/>
                <w:lang w:eastAsia="en-GB"/>
              </w:rPr>
              <w:t xml:space="preserve">, while project engineers would cover and prepare technical specifications. </w:t>
            </w:r>
          </w:p>
        </w:tc>
      </w:tr>
      <w:tr w:rsidR="00456C4A" w:rsidRPr="00015203" w14:paraId="0C255933" w14:textId="77777777" w:rsidTr="00EF68DE">
        <w:trPr>
          <w:trHeight w:val="1150"/>
          <w:jc w:val="center"/>
        </w:trPr>
        <w:tc>
          <w:tcPr>
            <w:tcW w:w="1100" w:type="dxa"/>
            <w:tcBorders>
              <w:top w:val="nil"/>
              <w:left w:val="single" w:sz="8" w:space="0" w:color="auto"/>
              <w:bottom w:val="single" w:sz="8" w:space="0" w:color="auto"/>
              <w:right w:val="single" w:sz="8" w:space="0" w:color="auto"/>
            </w:tcBorders>
            <w:shd w:val="clear" w:color="000000" w:fill="FFFFFF"/>
            <w:vAlign w:val="center"/>
          </w:tcPr>
          <w:p w14:paraId="45EADF98" w14:textId="2EC71F62"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2129</w:t>
            </w:r>
          </w:p>
        </w:tc>
        <w:tc>
          <w:tcPr>
            <w:tcW w:w="1584" w:type="dxa"/>
            <w:tcBorders>
              <w:top w:val="nil"/>
              <w:left w:val="nil"/>
              <w:bottom w:val="single" w:sz="8" w:space="0" w:color="auto"/>
              <w:right w:val="single" w:sz="8" w:space="0" w:color="auto"/>
            </w:tcBorders>
            <w:shd w:val="clear" w:color="000000" w:fill="FFFFFF"/>
            <w:vAlign w:val="center"/>
          </w:tcPr>
          <w:p w14:paraId="5E90A8A0" w14:textId="597C5BC5"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Engineering professionals n.e.c.</w:t>
            </w:r>
          </w:p>
        </w:tc>
        <w:tc>
          <w:tcPr>
            <w:tcW w:w="1517" w:type="dxa"/>
            <w:vMerge/>
            <w:tcBorders>
              <w:left w:val="nil"/>
              <w:right w:val="single" w:sz="8" w:space="0" w:color="auto"/>
            </w:tcBorders>
            <w:shd w:val="clear" w:color="000000" w:fill="006773"/>
            <w:noWrap/>
            <w:vAlign w:val="center"/>
          </w:tcPr>
          <w:p w14:paraId="6EA1FD3B" w14:textId="467C56BC"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000000" w:fill="B7F8FF"/>
            <w:vAlign w:val="center"/>
          </w:tcPr>
          <w:p w14:paraId="577CAAFB" w14:textId="3AAC93B6"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tcPr>
          <w:p w14:paraId="64B84469" w14:textId="13085AB6" w:rsidR="00456C4A" w:rsidRPr="00B10DDA" w:rsidRDefault="00456C4A" w:rsidP="00FD3B6A">
            <w:pPr>
              <w:spacing w:after="0"/>
              <w:jc w:val="center"/>
              <w:rPr>
                <w:rFonts w:eastAsia="Times New Roman" w:cs="Arial"/>
                <w:color w:val="000000"/>
                <w:sz w:val="20"/>
                <w:lang w:eastAsia="en-GB"/>
              </w:rPr>
            </w:pPr>
            <w:r w:rsidRPr="00B10DDA">
              <w:rPr>
                <w:rFonts w:eastAsia="Times New Roman" w:cs="Arial"/>
                <w:color w:val="000000"/>
                <w:sz w:val="20"/>
                <w:lang w:eastAsia="en-GB"/>
              </w:rPr>
              <w:t>Includes environmental engineers, and a number of these additional engineering occupations are counted under SIC 432, indicating involvement in retrofitting</w:t>
            </w:r>
            <w:r w:rsidR="00D02FC0" w:rsidRPr="00B10DDA">
              <w:rPr>
                <w:rFonts w:eastAsia="Times New Roman" w:cs="Arial"/>
                <w:color w:val="000000"/>
                <w:sz w:val="20"/>
                <w:lang w:eastAsia="en-GB"/>
              </w:rPr>
              <w:t xml:space="preserve">, likely including retrofit </w:t>
            </w:r>
            <w:r w:rsidR="00581208" w:rsidRPr="00B10DDA">
              <w:rPr>
                <w:rFonts w:eastAsia="Times New Roman" w:cs="Arial"/>
                <w:color w:val="000000"/>
                <w:sz w:val="20"/>
                <w:lang w:eastAsia="en-GB"/>
              </w:rPr>
              <w:t>coordination and design</w:t>
            </w:r>
            <w:r w:rsidR="00D02FC0" w:rsidRPr="00B10DDA">
              <w:rPr>
                <w:rFonts w:eastAsia="Times New Roman" w:cs="Arial"/>
                <w:color w:val="000000"/>
                <w:sz w:val="20"/>
                <w:lang w:eastAsia="en-GB"/>
              </w:rPr>
              <w:t xml:space="preserve">. </w:t>
            </w:r>
          </w:p>
        </w:tc>
      </w:tr>
      <w:tr w:rsidR="00456C4A" w:rsidRPr="00015203" w14:paraId="3793A2D3" w14:textId="77777777" w:rsidTr="00EF68DE">
        <w:trPr>
          <w:trHeight w:val="115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027A6961"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2455</w:t>
            </w:r>
          </w:p>
        </w:tc>
        <w:tc>
          <w:tcPr>
            <w:tcW w:w="1584" w:type="dxa"/>
            <w:tcBorders>
              <w:top w:val="nil"/>
              <w:left w:val="nil"/>
              <w:bottom w:val="single" w:sz="8" w:space="0" w:color="auto"/>
              <w:right w:val="single" w:sz="8" w:space="0" w:color="auto"/>
            </w:tcBorders>
            <w:shd w:val="clear" w:color="000000" w:fill="FFFFFF"/>
            <w:vAlign w:val="center"/>
            <w:hideMark/>
          </w:tcPr>
          <w:p w14:paraId="2D296C21"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Construction project managers and related professionals</w:t>
            </w:r>
          </w:p>
        </w:tc>
        <w:tc>
          <w:tcPr>
            <w:tcW w:w="1517" w:type="dxa"/>
            <w:vMerge/>
            <w:tcBorders>
              <w:left w:val="nil"/>
              <w:right w:val="single" w:sz="8" w:space="0" w:color="auto"/>
            </w:tcBorders>
            <w:shd w:val="clear" w:color="000000" w:fill="006773"/>
            <w:noWrap/>
            <w:vAlign w:val="center"/>
            <w:hideMark/>
          </w:tcPr>
          <w:p w14:paraId="2926092E" w14:textId="2460DDD7"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000000" w:fill="B7F8FF"/>
            <w:vAlign w:val="center"/>
            <w:hideMark/>
          </w:tcPr>
          <w:p w14:paraId="333AF65D" w14:textId="4FD50DAB"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780A20A7" w14:textId="28D87D89" w:rsidR="00456C4A" w:rsidRPr="00B10DDA" w:rsidRDefault="00456C4A" w:rsidP="00FD3B6A">
            <w:pPr>
              <w:spacing w:after="0"/>
              <w:jc w:val="center"/>
              <w:rPr>
                <w:rFonts w:eastAsia="Times New Roman" w:cs="Arial"/>
                <w:color w:val="000000"/>
                <w:sz w:val="20"/>
                <w:lang w:eastAsia="en-GB"/>
              </w:rPr>
            </w:pPr>
            <w:r w:rsidRPr="00B10DDA">
              <w:rPr>
                <w:rFonts w:eastAsia="Times New Roman" w:cs="Arial"/>
                <w:color w:val="000000"/>
                <w:sz w:val="20"/>
                <w:lang w:eastAsia="en-GB"/>
              </w:rPr>
              <w:t>Construction project managers will be heavily involved in directing the retrofit process</w:t>
            </w:r>
            <w:r w:rsidR="00663C31" w:rsidRPr="00B10DDA">
              <w:rPr>
                <w:rFonts w:eastAsia="Times New Roman" w:cs="Arial"/>
                <w:color w:val="000000"/>
                <w:sz w:val="20"/>
                <w:lang w:eastAsia="en-GB"/>
              </w:rPr>
              <w:t xml:space="preserve"> and surveying properties</w:t>
            </w:r>
            <w:r w:rsidR="00581208" w:rsidRPr="00B10DDA">
              <w:rPr>
                <w:rFonts w:eastAsia="Times New Roman" w:cs="Arial"/>
                <w:color w:val="000000"/>
                <w:sz w:val="20"/>
                <w:lang w:eastAsia="en-GB"/>
              </w:rPr>
              <w:t xml:space="preserve">, and as such would fall in the retrofit coordinator </w:t>
            </w:r>
            <w:r w:rsidR="00663C31" w:rsidRPr="00B10DDA">
              <w:rPr>
                <w:rFonts w:eastAsia="Times New Roman" w:cs="Arial"/>
                <w:color w:val="000000"/>
                <w:sz w:val="20"/>
                <w:lang w:eastAsia="en-GB"/>
              </w:rPr>
              <w:t xml:space="preserve">and assessor </w:t>
            </w:r>
            <w:r w:rsidR="00581208" w:rsidRPr="00B10DDA">
              <w:rPr>
                <w:rFonts w:eastAsia="Times New Roman" w:cs="Arial"/>
                <w:color w:val="000000"/>
                <w:sz w:val="20"/>
                <w:lang w:eastAsia="en-GB"/>
              </w:rPr>
              <w:t>role</w:t>
            </w:r>
            <w:r w:rsidR="00663C31" w:rsidRPr="00B10DDA">
              <w:rPr>
                <w:rFonts w:eastAsia="Times New Roman" w:cs="Arial"/>
                <w:color w:val="000000"/>
                <w:sz w:val="20"/>
                <w:lang w:eastAsia="en-GB"/>
              </w:rPr>
              <w:t>s</w:t>
            </w:r>
            <w:r w:rsidRPr="00B10DDA">
              <w:rPr>
                <w:rFonts w:eastAsia="Times New Roman" w:cs="Arial"/>
                <w:color w:val="000000"/>
                <w:sz w:val="20"/>
                <w:lang w:eastAsia="en-GB"/>
              </w:rPr>
              <w:t>.</w:t>
            </w:r>
          </w:p>
        </w:tc>
      </w:tr>
      <w:tr w:rsidR="00456C4A" w:rsidRPr="00015203" w14:paraId="48B44CFA" w14:textId="77777777" w:rsidTr="00EF68DE">
        <w:trPr>
          <w:trHeight w:val="115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35DA51BE"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3114</w:t>
            </w:r>
          </w:p>
        </w:tc>
        <w:tc>
          <w:tcPr>
            <w:tcW w:w="1584" w:type="dxa"/>
            <w:tcBorders>
              <w:top w:val="nil"/>
              <w:left w:val="nil"/>
              <w:bottom w:val="single" w:sz="8" w:space="0" w:color="auto"/>
              <w:right w:val="single" w:sz="8" w:space="0" w:color="auto"/>
            </w:tcBorders>
            <w:shd w:val="clear" w:color="000000" w:fill="FFFFFF"/>
            <w:vAlign w:val="center"/>
            <w:hideMark/>
          </w:tcPr>
          <w:p w14:paraId="137EBEBE"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Building and civil engineering technicians</w:t>
            </w:r>
          </w:p>
        </w:tc>
        <w:tc>
          <w:tcPr>
            <w:tcW w:w="1517" w:type="dxa"/>
            <w:vMerge/>
            <w:tcBorders>
              <w:left w:val="nil"/>
              <w:right w:val="single" w:sz="8" w:space="0" w:color="auto"/>
            </w:tcBorders>
            <w:shd w:val="clear" w:color="000000" w:fill="006773"/>
            <w:noWrap/>
            <w:vAlign w:val="center"/>
            <w:hideMark/>
          </w:tcPr>
          <w:p w14:paraId="006834E7" w14:textId="495EB639"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000000" w:fill="B7F8FF"/>
            <w:vAlign w:val="center"/>
            <w:hideMark/>
          </w:tcPr>
          <w:p w14:paraId="38C22609" w14:textId="51F8099B"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0B39EFE1" w14:textId="5477D072" w:rsidR="00456C4A" w:rsidRPr="00B10DDA" w:rsidRDefault="00456C4A" w:rsidP="00FD3B6A">
            <w:pPr>
              <w:spacing w:after="0"/>
              <w:jc w:val="center"/>
              <w:rPr>
                <w:rFonts w:eastAsia="Times New Roman" w:cs="Arial"/>
                <w:color w:val="000000"/>
                <w:sz w:val="20"/>
                <w:lang w:eastAsia="en-GB"/>
              </w:rPr>
            </w:pPr>
            <w:r w:rsidRPr="00B10DDA">
              <w:rPr>
                <w:rFonts w:eastAsia="Times New Roman" w:cs="Arial"/>
                <w:color w:val="000000"/>
                <w:sz w:val="20"/>
                <w:lang w:eastAsia="en-GB"/>
              </w:rPr>
              <w:t>Essential for general administration around retrofit installation, such as site setup or materials testing. Also used for direct supervision of direct installation SOCs</w:t>
            </w:r>
            <w:r w:rsidR="00D02FC0" w:rsidRPr="00B10DDA">
              <w:rPr>
                <w:rFonts w:eastAsia="Times New Roman" w:cs="Arial"/>
                <w:color w:val="000000"/>
                <w:sz w:val="20"/>
                <w:lang w:eastAsia="en-GB"/>
              </w:rPr>
              <w:t>, as well as the design of retrofit systems.</w:t>
            </w:r>
          </w:p>
        </w:tc>
      </w:tr>
      <w:tr w:rsidR="00456C4A" w:rsidRPr="00015203" w14:paraId="1584AA0C" w14:textId="77777777" w:rsidTr="00EF68DE">
        <w:trPr>
          <w:trHeight w:val="115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47F9DC2D"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3582</w:t>
            </w:r>
          </w:p>
        </w:tc>
        <w:tc>
          <w:tcPr>
            <w:tcW w:w="1584" w:type="dxa"/>
            <w:tcBorders>
              <w:top w:val="nil"/>
              <w:left w:val="nil"/>
              <w:bottom w:val="single" w:sz="8" w:space="0" w:color="auto"/>
              <w:right w:val="single" w:sz="8" w:space="0" w:color="auto"/>
            </w:tcBorders>
            <w:shd w:val="clear" w:color="000000" w:fill="FFFFFF"/>
            <w:vAlign w:val="center"/>
            <w:hideMark/>
          </w:tcPr>
          <w:p w14:paraId="57807D84"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Health and safety managers and officers</w:t>
            </w:r>
          </w:p>
        </w:tc>
        <w:tc>
          <w:tcPr>
            <w:tcW w:w="1517" w:type="dxa"/>
            <w:vMerge/>
            <w:tcBorders>
              <w:left w:val="nil"/>
              <w:right w:val="single" w:sz="8" w:space="0" w:color="auto"/>
            </w:tcBorders>
            <w:shd w:val="clear" w:color="000000" w:fill="006773"/>
            <w:noWrap/>
            <w:vAlign w:val="center"/>
            <w:hideMark/>
          </w:tcPr>
          <w:p w14:paraId="775C229E" w14:textId="3095D9B1"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000000" w:fill="B7F8FF"/>
            <w:vAlign w:val="center"/>
            <w:hideMark/>
          </w:tcPr>
          <w:p w14:paraId="24A8F64B" w14:textId="0B046D97"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00FD6E7F"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Site safety is a necessary condition for any retrofit project to go ahead. These workers therefore currently play an essential supervisory role.</w:t>
            </w:r>
          </w:p>
        </w:tc>
      </w:tr>
      <w:tr w:rsidR="00456C4A" w:rsidRPr="00015203" w14:paraId="1A0D7911" w14:textId="77777777" w:rsidTr="00EF68DE">
        <w:trPr>
          <w:trHeight w:val="115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1D7C52C6"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4159</w:t>
            </w:r>
          </w:p>
        </w:tc>
        <w:tc>
          <w:tcPr>
            <w:tcW w:w="1584" w:type="dxa"/>
            <w:tcBorders>
              <w:top w:val="nil"/>
              <w:left w:val="nil"/>
              <w:bottom w:val="single" w:sz="8" w:space="0" w:color="auto"/>
              <w:right w:val="single" w:sz="8" w:space="0" w:color="auto"/>
            </w:tcBorders>
            <w:shd w:val="clear" w:color="000000" w:fill="FFFFFF"/>
            <w:vAlign w:val="center"/>
            <w:hideMark/>
          </w:tcPr>
          <w:p w14:paraId="45802EB0"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Other administrative occupations n.e.c.</w:t>
            </w:r>
          </w:p>
        </w:tc>
        <w:tc>
          <w:tcPr>
            <w:tcW w:w="1517" w:type="dxa"/>
            <w:vMerge/>
            <w:tcBorders>
              <w:left w:val="nil"/>
              <w:bottom w:val="single" w:sz="8" w:space="0" w:color="auto"/>
              <w:right w:val="single" w:sz="8" w:space="0" w:color="auto"/>
            </w:tcBorders>
            <w:shd w:val="clear" w:color="000000" w:fill="006773"/>
            <w:noWrap/>
            <w:vAlign w:val="center"/>
            <w:hideMark/>
          </w:tcPr>
          <w:p w14:paraId="618BF355" w14:textId="07FD6BE9"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bottom w:val="single" w:sz="8" w:space="0" w:color="auto"/>
              <w:right w:val="single" w:sz="8" w:space="0" w:color="auto"/>
            </w:tcBorders>
            <w:shd w:val="clear" w:color="000000" w:fill="B7F8FF"/>
            <w:vAlign w:val="center"/>
            <w:hideMark/>
          </w:tcPr>
          <w:p w14:paraId="510300DC" w14:textId="44B23275"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7B44D0DC" w14:textId="62CFE3F5"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While the category is broad, many are counted under SICs 432 and 433 in the SIC-SOC matrix, which denotes relevance to retrofit.</w:t>
            </w:r>
          </w:p>
        </w:tc>
      </w:tr>
      <w:tr w:rsidR="00FD3B6A" w:rsidRPr="00015203" w14:paraId="2751F1A0" w14:textId="77777777" w:rsidTr="00837294">
        <w:trPr>
          <w:trHeight w:val="641"/>
          <w:jc w:val="center"/>
        </w:trPr>
        <w:tc>
          <w:tcPr>
            <w:tcW w:w="1100" w:type="dxa"/>
            <w:tcBorders>
              <w:top w:val="single" w:sz="8" w:space="0" w:color="auto"/>
              <w:left w:val="single" w:sz="8" w:space="0" w:color="auto"/>
              <w:bottom w:val="single" w:sz="8" w:space="0" w:color="auto"/>
              <w:right w:val="single" w:sz="8" w:space="0" w:color="auto"/>
            </w:tcBorders>
            <w:shd w:val="clear" w:color="auto" w:fill="C4BC96" w:themeFill="background2" w:themeFillShade="BF"/>
            <w:vAlign w:val="center"/>
          </w:tcPr>
          <w:p w14:paraId="67E2B8E9" w14:textId="375AE3F4" w:rsidR="00FD3B6A" w:rsidRPr="00015203" w:rsidRDefault="00FD3B6A" w:rsidP="00FD3B6A">
            <w:pPr>
              <w:spacing w:after="0"/>
              <w:jc w:val="center"/>
              <w:rPr>
                <w:rFonts w:eastAsia="Times New Roman" w:cs="Arial"/>
                <w:color w:val="000000"/>
                <w:sz w:val="20"/>
                <w:lang w:eastAsia="en-GB"/>
              </w:rPr>
            </w:pPr>
            <w:r w:rsidRPr="00015203">
              <w:rPr>
                <w:rFonts w:eastAsia="Times New Roman" w:cs="Arial"/>
                <w:b/>
                <w:bCs/>
                <w:color w:val="auto"/>
                <w:sz w:val="20"/>
                <w:lang w:eastAsia="en-GB"/>
              </w:rPr>
              <w:lastRenderedPageBreak/>
              <w:t>SOC Code</w:t>
            </w:r>
          </w:p>
        </w:tc>
        <w:tc>
          <w:tcPr>
            <w:tcW w:w="1584" w:type="dxa"/>
            <w:tcBorders>
              <w:top w:val="single" w:sz="8" w:space="0" w:color="auto"/>
              <w:left w:val="nil"/>
              <w:bottom w:val="single" w:sz="8" w:space="0" w:color="auto"/>
              <w:right w:val="single" w:sz="8" w:space="0" w:color="auto"/>
            </w:tcBorders>
            <w:shd w:val="clear" w:color="auto" w:fill="C4BC96" w:themeFill="background2" w:themeFillShade="BF"/>
            <w:vAlign w:val="center"/>
          </w:tcPr>
          <w:p w14:paraId="7FDCB97A" w14:textId="3FA7F302" w:rsidR="00FD3B6A" w:rsidRPr="00015203" w:rsidRDefault="00FD3B6A" w:rsidP="00FD3B6A">
            <w:pPr>
              <w:spacing w:after="0"/>
              <w:jc w:val="center"/>
              <w:rPr>
                <w:rFonts w:eastAsia="Times New Roman" w:cs="Arial"/>
                <w:color w:val="000000"/>
                <w:sz w:val="20"/>
                <w:lang w:eastAsia="en-GB"/>
              </w:rPr>
            </w:pPr>
            <w:r w:rsidRPr="00015203">
              <w:rPr>
                <w:rFonts w:eastAsia="Times New Roman" w:cs="Arial"/>
                <w:b/>
                <w:bCs/>
                <w:color w:val="auto"/>
                <w:sz w:val="20"/>
                <w:lang w:eastAsia="en-GB"/>
              </w:rPr>
              <w:t>SOC Name</w:t>
            </w:r>
          </w:p>
        </w:tc>
        <w:tc>
          <w:tcPr>
            <w:tcW w:w="1517" w:type="dxa"/>
            <w:tcBorders>
              <w:top w:val="single" w:sz="8" w:space="0" w:color="auto"/>
              <w:left w:val="nil"/>
              <w:bottom w:val="single" w:sz="8" w:space="0" w:color="auto"/>
              <w:right w:val="single" w:sz="8" w:space="0" w:color="auto"/>
            </w:tcBorders>
            <w:shd w:val="clear" w:color="auto" w:fill="C4BC96" w:themeFill="background2" w:themeFillShade="BF"/>
            <w:noWrap/>
            <w:vAlign w:val="center"/>
          </w:tcPr>
          <w:p w14:paraId="51C480AB" w14:textId="2B16CB3A" w:rsidR="00FD3B6A" w:rsidRPr="00015203" w:rsidRDefault="00FD3B6A" w:rsidP="00FD3B6A">
            <w:pPr>
              <w:spacing w:after="0"/>
              <w:jc w:val="center"/>
              <w:rPr>
                <w:rFonts w:eastAsia="Times New Roman" w:cs="Arial"/>
                <w:color w:val="FFFFFF"/>
                <w:sz w:val="20"/>
                <w:lang w:eastAsia="en-GB"/>
              </w:rPr>
            </w:pPr>
            <w:r w:rsidRPr="00015203">
              <w:rPr>
                <w:rFonts w:eastAsia="Times New Roman" w:cs="Arial"/>
                <w:b/>
                <w:bCs/>
                <w:color w:val="auto"/>
                <w:sz w:val="20"/>
                <w:lang w:eastAsia="en-GB"/>
              </w:rPr>
              <w:t>Classification</w:t>
            </w:r>
          </w:p>
        </w:tc>
        <w:tc>
          <w:tcPr>
            <w:tcW w:w="1420" w:type="dxa"/>
            <w:tcBorders>
              <w:top w:val="single" w:sz="8" w:space="0" w:color="auto"/>
              <w:left w:val="nil"/>
              <w:bottom w:val="single" w:sz="8" w:space="0" w:color="auto"/>
              <w:right w:val="single" w:sz="8" w:space="0" w:color="auto"/>
            </w:tcBorders>
            <w:shd w:val="clear" w:color="auto" w:fill="C4BC96" w:themeFill="background2" w:themeFillShade="BF"/>
            <w:vAlign w:val="center"/>
          </w:tcPr>
          <w:p w14:paraId="7A8909FE" w14:textId="3E2CF064" w:rsidR="00FD3B6A" w:rsidRPr="00015203" w:rsidRDefault="00FD3B6A" w:rsidP="00FD3B6A">
            <w:pPr>
              <w:spacing w:after="0"/>
              <w:jc w:val="center"/>
              <w:rPr>
                <w:rFonts w:eastAsia="Times New Roman" w:cs="Arial"/>
                <w:color w:val="auto"/>
                <w:sz w:val="20"/>
                <w:lang w:eastAsia="en-GB"/>
              </w:rPr>
            </w:pPr>
            <w:r w:rsidRPr="00015203">
              <w:rPr>
                <w:rFonts w:eastAsia="Times New Roman" w:cs="Arial"/>
                <w:b/>
                <w:bCs/>
                <w:color w:val="auto"/>
                <w:sz w:val="20"/>
                <w:lang w:eastAsia="en-GB"/>
              </w:rPr>
              <w:t>Category</w:t>
            </w:r>
          </w:p>
        </w:tc>
        <w:tc>
          <w:tcPr>
            <w:tcW w:w="4720" w:type="dxa"/>
            <w:tcBorders>
              <w:top w:val="single" w:sz="8" w:space="0" w:color="auto"/>
              <w:left w:val="nil"/>
              <w:bottom w:val="single" w:sz="8" w:space="0" w:color="auto"/>
              <w:right w:val="single" w:sz="8" w:space="0" w:color="auto"/>
            </w:tcBorders>
            <w:shd w:val="clear" w:color="auto" w:fill="C4BC96" w:themeFill="background2" w:themeFillShade="BF"/>
            <w:vAlign w:val="center"/>
          </w:tcPr>
          <w:p w14:paraId="7651485C" w14:textId="24F0AB59" w:rsidR="00FD3B6A" w:rsidRPr="00015203" w:rsidRDefault="00FD3B6A" w:rsidP="00FD3B6A">
            <w:pPr>
              <w:spacing w:after="0"/>
              <w:jc w:val="center"/>
              <w:rPr>
                <w:rFonts w:eastAsia="Times New Roman" w:cs="Arial"/>
                <w:color w:val="000000"/>
                <w:sz w:val="20"/>
                <w:lang w:eastAsia="en-GB"/>
              </w:rPr>
            </w:pPr>
            <w:r w:rsidRPr="00015203">
              <w:rPr>
                <w:rFonts w:eastAsia="Times New Roman" w:cs="Arial"/>
                <w:b/>
                <w:bCs/>
                <w:color w:val="auto"/>
                <w:sz w:val="20"/>
                <w:lang w:eastAsia="en-GB"/>
              </w:rPr>
              <w:t>Justification</w:t>
            </w:r>
          </w:p>
        </w:tc>
      </w:tr>
      <w:tr w:rsidR="00456C4A" w:rsidRPr="00015203" w14:paraId="5BE0FA23"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11EA3F72"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5250</w:t>
            </w:r>
          </w:p>
        </w:tc>
        <w:tc>
          <w:tcPr>
            <w:tcW w:w="1584" w:type="dxa"/>
            <w:tcBorders>
              <w:top w:val="nil"/>
              <w:left w:val="nil"/>
              <w:bottom w:val="single" w:sz="8" w:space="0" w:color="auto"/>
              <w:right w:val="single" w:sz="8" w:space="0" w:color="auto"/>
            </w:tcBorders>
            <w:shd w:val="clear" w:color="000000" w:fill="FFFFFF"/>
            <w:vAlign w:val="center"/>
            <w:hideMark/>
          </w:tcPr>
          <w:p w14:paraId="6290A9B7"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Skilled metal, electrical and electronic trades supervisors</w:t>
            </w:r>
          </w:p>
        </w:tc>
        <w:tc>
          <w:tcPr>
            <w:tcW w:w="1517" w:type="dxa"/>
            <w:vMerge w:val="restart"/>
            <w:tcBorders>
              <w:top w:val="nil"/>
              <w:left w:val="nil"/>
              <w:right w:val="single" w:sz="8" w:space="0" w:color="auto"/>
            </w:tcBorders>
            <w:shd w:val="clear" w:color="000000" w:fill="006773"/>
            <w:noWrap/>
            <w:vAlign w:val="center"/>
            <w:hideMark/>
          </w:tcPr>
          <w:p w14:paraId="62CBBF40" w14:textId="365DA5BD" w:rsidR="00456C4A" w:rsidRPr="00015203" w:rsidRDefault="00456C4A" w:rsidP="00456C4A">
            <w:pPr>
              <w:spacing w:after="0"/>
              <w:jc w:val="center"/>
              <w:rPr>
                <w:rFonts w:eastAsia="Times New Roman" w:cs="Arial"/>
                <w:b/>
                <w:bCs/>
                <w:color w:val="FFFFFF"/>
                <w:sz w:val="20"/>
                <w:lang w:eastAsia="en-GB"/>
              </w:rPr>
            </w:pPr>
            <w:r w:rsidRPr="00015203">
              <w:rPr>
                <w:rFonts w:eastAsia="Times New Roman" w:cs="Arial"/>
                <w:b/>
                <w:bCs/>
                <w:color w:val="FFFFFF"/>
                <w:sz w:val="20"/>
                <w:lang w:eastAsia="en-GB"/>
              </w:rPr>
              <w:t>Core</w:t>
            </w:r>
          </w:p>
        </w:tc>
        <w:tc>
          <w:tcPr>
            <w:tcW w:w="1420" w:type="dxa"/>
            <w:vMerge w:val="restart"/>
            <w:tcBorders>
              <w:top w:val="nil"/>
              <w:left w:val="nil"/>
              <w:right w:val="single" w:sz="8" w:space="0" w:color="auto"/>
            </w:tcBorders>
            <w:shd w:val="clear" w:color="000000" w:fill="B7F8FF"/>
            <w:vAlign w:val="center"/>
            <w:hideMark/>
          </w:tcPr>
          <w:p w14:paraId="3D74D810" w14:textId="6D5F043B" w:rsidR="00456C4A" w:rsidRPr="00015203" w:rsidRDefault="00456C4A" w:rsidP="00456C4A">
            <w:pPr>
              <w:spacing w:after="0"/>
              <w:jc w:val="center"/>
              <w:rPr>
                <w:rFonts w:eastAsia="Times New Roman" w:cs="Arial"/>
                <w:b/>
                <w:bCs/>
                <w:color w:val="auto"/>
                <w:sz w:val="20"/>
                <w:lang w:eastAsia="en-GB"/>
              </w:rPr>
            </w:pPr>
            <w:r w:rsidRPr="00015203">
              <w:rPr>
                <w:rFonts w:eastAsia="Times New Roman" w:cs="Arial"/>
                <w:b/>
                <w:bCs/>
                <w:color w:val="auto"/>
                <w:sz w:val="20"/>
                <w:lang w:eastAsia="en-GB"/>
              </w:rPr>
              <w:t>Supervisory</w:t>
            </w:r>
          </w:p>
        </w:tc>
        <w:tc>
          <w:tcPr>
            <w:tcW w:w="4720" w:type="dxa"/>
            <w:tcBorders>
              <w:top w:val="nil"/>
              <w:left w:val="nil"/>
              <w:bottom w:val="single" w:sz="8" w:space="0" w:color="auto"/>
              <w:right w:val="single" w:sz="8" w:space="0" w:color="auto"/>
            </w:tcBorders>
            <w:shd w:val="clear" w:color="000000" w:fill="FFFFFF"/>
            <w:vAlign w:val="center"/>
            <w:hideMark/>
          </w:tcPr>
          <w:p w14:paraId="4691A12C" w14:textId="10E95789"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Supervisors in relevant electrical trades are essential in ensuring standards for electrical work are aptly met.</w:t>
            </w:r>
          </w:p>
        </w:tc>
      </w:tr>
      <w:tr w:rsidR="00456C4A" w:rsidRPr="00015203" w14:paraId="37B2222D"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60E8F2CB"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5330</w:t>
            </w:r>
          </w:p>
        </w:tc>
        <w:tc>
          <w:tcPr>
            <w:tcW w:w="1584" w:type="dxa"/>
            <w:tcBorders>
              <w:top w:val="nil"/>
              <w:left w:val="nil"/>
              <w:bottom w:val="single" w:sz="8" w:space="0" w:color="auto"/>
              <w:right w:val="single" w:sz="8" w:space="0" w:color="auto"/>
            </w:tcBorders>
            <w:shd w:val="clear" w:color="000000" w:fill="FFFFFF"/>
            <w:vAlign w:val="center"/>
            <w:hideMark/>
          </w:tcPr>
          <w:p w14:paraId="63B74D08"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Construction and building trades supervisors</w:t>
            </w:r>
          </w:p>
        </w:tc>
        <w:tc>
          <w:tcPr>
            <w:tcW w:w="1517" w:type="dxa"/>
            <w:vMerge/>
            <w:tcBorders>
              <w:left w:val="nil"/>
              <w:bottom w:val="single" w:sz="8" w:space="0" w:color="auto"/>
              <w:right w:val="single" w:sz="8" w:space="0" w:color="auto"/>
            </w:tcBorders>
            <w:shd w:val="clear" w:color="000000" w:fill="006773"/>
            <w:noWrap/>
            <w:vAlign w:val="center"/>
            <w:hideMark/>
          </w:tcPr>
          <w:p w14:paraId="0A130C58" w14:textId="3FD6C209"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bottom w:val="single" w:sz="8" w:space="0" w:color="auto"/>
              <w:right w:val="single" w:sz="8" w:space="0" w:color="auto"/>
            </w:tcBorders>
            <w:shd w:val="clear" w:color="000000" w:fill="B7F8FF"/>
            <w:vAlign w:val="center"/>
            <w:hideMark/>
          </w:tcPr>
          <w:p w14:paraId="17CD36AE" w14:textId="36C73278" w:rsidR="00456C4A" w:rsidRPr="00015203" w:rsidRDefault="00456C4A" w:rsidP="00FD3B6A">
            <w:pPr>
              <w:spacing w:after="0"/>
              <w:jc w:val="center"/>
              <w:rPr>
                <w:rFonts w:eastAsia="Times New Roman" w:cs="Arial"/>
                <w:b/>
                <w:bCs/>
                <w:color w:val="auto"/>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36B77938" w14:textId="696FEB3E"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Directly supervise site operations while often being involved in physical work themselves.</w:t>
            </w:r>
          </w:p>
        </w:tc>
      </w:tr>
      <w:tr w:rsidR="00456C4A" w:rsidRPr="00015203" w14:paraId="3C1B3EAA"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47D5E11A"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5225</w:t>
            </w:r>
          </w:p>
        </w:tc>
        <w:tc>
          <w:tcPr>
            <w:tcW w:w="1584" w:type="dxa"/>
            <w:tcBorders>
              <w:top w:val="nil"/>
              <w:left w:val="nil"/>
              <w:bottom w:val="single" w:sz="8" w:space="0" w:color="auto"/>
              <w:right w:val="single" w:sz="8" w:space="0" w:color="auto"/>
            </w:tcBorders>
            <w:shd w:val="clear" w:color="000000" w:fill="FFFFFF"/>
            <w:vAlign w:val="center"/>
            <w:hideMark/>
          </w:tcPr>
          <w:p w14:paraId="73298A98"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Air-conditioning and refrigeration installers and repairers</w:t>
            </w:r>
          </w:p>
        </w:tc>
        <w:tc>
          <w:tcPr>
            <w:tcW w:w="1517" w:type="dxa"/>
            <w:vMerge w:val="restart"/>
            <w:tcBorders>
              <w:top w:val="nil"/>
              <w:left w:val="nil"/>
              <w:right w:val="single" w:sz="8" w:space="0" w:color="auto"/>
            </w:tcBorders>
            <w:shd w:val="clear" w:color="000000" w:fill="262626"/>
            <w:vAlign w:val="center"/>
            <w:hideMark/>
          </w:tcPr>
          <w:p w14:paraId="613C8209" w14:textId="305A7CA9" w:rsidR="00456C4A" w:rsidRPr="00015203" w:rsidRDefault="00456C4A" w:rsidP="00456C4A">
            <w:pPr>
              <w:spacing w:after="0"/>
              <w:jc w:val="center"/>
              <w:rPr>
                <w:rFonts w:eastAsia="Times New Roman" w:cs="Arial"/>
                <w:b/>
                <w:bCs/>
                <w:color w:val="FFFFFF"/>
                <w:sz w:val="20"/>
                <w:lang w:eastAsia="en-GB"/>
              </w:rPr>
            </w:pPr>
            <w:r w:rsidRPr="00015203">
              <w:rPr>
                <w:rFonts w:eastAsia="Times New Roman" w:cs="Arial"/>
                <w:b/>
                <w:bCs/>
                <w:color w:val="FFFFFF"/>
                <w:sz w:val="20"/>
                <w:lang w:eastAsia="en-GB"/>
              </w:rPr>
              <w:t>Adjacent</w:t>
            </w:r>
          </w:p>
          <w:p w14:paraId="1BB6D57E" w14:textId="25457FCA" w:rsidR="00456C4A" w:rsidRPr="00015203" w:rsidRDefault="00456C4A" w:rsidP="00FD3B6A">
            <w:pPr>
              <w:spacing w:after="0"/>
              <w:jc w:val="center"/>
              <w:rPr>
                <w:rFonts w:eastAsia="Times New Roman" w:cs="Arial"/>
                <w:b/>
                <w:bCs/>
                <w:color w:val="FFFFFF"/>
                <w:sz w:val="20"/>
                <w:lang w:eastAsia="en-GB"/>
              </w:rPr>
            </w:pPr>
          </w:p>
        </w:tc>
        <w:tc>
          <w:tcPr>
            <w:tcW w:w="1420" w:type="dxa"/>
            <w:vMerge w:val="restart"/>
            <w:tcBorders>
              <w:top w:val="nil"/>
              <w:left w:val="nil"/>
              <w:right w:val="single" w:sz="8" w:space="0" w:color="auto"/>
            </w:tcBorders>
            <w:shd w:val="clear" w:color="auto" w:fill="008C9B" w:themeFill="text2"/>
            <w:vAlign w:val="center"/>
            <w:hideMark/>
          </w:tcPr>
          <w:p w14:paraId="08655CDA" w14:textId="2BC147AB" w:rsidR="00456C4A" w:rsidRPr="00015203" w:rsidRDefault="00456C4A" w:rsidP="00456C4A">
            <w:pPr>
              <w:spacing w:after="0"/>
              <w:jc w:val="center"/>
              <w:rPr>
                <w:rFonts w:eastAsia="Times New Roman" w:cs="Arial"/>
                <w:b/>
                <w:bCs/>
                <w:color w:val="FFFFFF"/>
                <w:sz w:val="20"/>
                <w:lang w:eastAsia="en-GB"/>
              </w:rPr>
            </w:pPr>
            <w:r w:rsidRPr="00015203">
              <w:rPr>
                <w:rFonts w:eastAsia="Times New Roman" w:cs="Arial"/>
                <w:b/>
                <w:bCs/>
                <w:color w:val="FFFFFF"/>
                <w:sz w:val="20"/>
                <w:lang w:eastAsia="en-GB"/>
              </w:rPr>
              <w:t>Direct</w:t>
            </w:r>
          </w:p>
          <w:p w14:paraId="50290862" w14:textId="5B193228" w:rsidR="00456C4A" w:rsidRPr="00015203" w:rsidRDefault="00456C4A" w:rsidP="00FD3B6A">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513367A0"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Expertise in refrigeration and air conditioning is highly applicable to heat pumps, which utilise similar heat-transfer technology.</w:t>
            </w:r>
          </w:p>
        </w:tc>
      </w:tr>
      <w:tr w:rsidR="00456C4A" w:rsidRPr="00015203" w14:paraId="4EF12DF3"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7C3FDBEB"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5231</w:t>
            </w:r>
          </w:p>
        </w:tc>
        <w:tc>
          <w:tcPr>
            <w:tcW w:w="1584" w:type="dxa"/>
            <w:tcBorders>
              <w:top w:val="nil"/>
              <w:left w:val="nil"/>
              <w:bottom w:val="single" w:sz="8" w:space="0" w:color="auto"/>
              <w:right w:val="single" w:sz="8" w:space="0" w:color="auto"/>
            </w:tcBorders>
            <w:shd w:val="clear" w:color="000000" w:fill="FFFFFF"/>
            <w:vAlign w:val="center"/>
            <w:hideMark/>
          </w:tcPr>
          <w:p w14:paraId="38E4B03F"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Vehicle technicians, mechanics and electricians</w:t>
            </w:r>
          </w:p>
        </w:tc>
        <w:tc>
          <w:tcPr>
            <w:tcW w:w="1517" w:type="dxa"/>
            <w:vMerge/>
            <w:tcBorders>
              <w:left w:val="nil"/>
              <w:right w:val="single" w:sz="8" w:space="0" w:color="auto"/>
            </w:tcBorders>
            <w:shd w:val="clear" w:color="000000" w:fill="262626"/>
            <w:vAlign w:val="center"/>
            <w:hideMark/>
          </w:tcPr>
          <w:p w14:paraId="384A2DB0" w14:textId="2F2CB585"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auto" w:fill="008C9B" w:themeFill="text2"/>
            <w:vAlign w:val="center"/>
            <w:hideMark/>
          </w:tcPr>
          <w:p w14:paraId="10C799C0" w14:textId="430DEDB7" w:rsidR="00456C4A" w:rsidRPr="00015203" w:rsidRDefault="00456C4A" w:rsidP="00FD3B6A">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546201F0"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Generally transferrable skills, likely to be able to take retrofit training on board easily.</w:t>
            </w:r>
          </w:p>
        </w:tc>
      </w:tr>
      <w:tr w:rsidR="00456C4A" w:rsidRPr="00015203" w14:paraId="479AE0AB"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157CB459"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5242</w:t>
            </w:r>
          </w:p>
        </w:tc>
        <w:tc>
          <w:tcPr>
            <w:tcW w:w="1584" w:type="dxa"/>
            <w:tcBorders>
              <w:top w:val="nil"/>
              <w:left w:val="nil"/>
              <w:bottom w:val="single" w:sz="8" w:space="0" w:color="auto"/>
              <w:right w:val="single" w:sz="8" w:space="0" w:color="auto"/>
            </w:tcBorders>
            <w:shd w:val="clear" w:color="000000" w:fill="FFFFFF"/>
            <w:vAlign w:val="center"/>
            <w:hideMark/>
          </w:tcPr>
          <w:p w14:paraId="6C1F717A"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Telecoms and related network installers and repairers</w:t>
            </w:r>
          </w:p>
        </w:tc>
        <w:tc>
          <w:tcPr>
            <w:tcW w:w="1517" w:type="dxa"/>
            <w:vMerge/>
            <w:tcBorders>
              <w:left w:val="nil"/>
              <w:right w:val="single" w:sz="8" w:space="0" w:color="auto"/>
            </w:tcBorders>
            <w:shd w:val="clear" w:color="000000" w:fill="262626"/>
            <w:vAlign w:val="center"/>
            <w:hideMark/>
          </w:tcPr>
          <w:p w14:paraId="0D51498A" w14:textId="20F3372F"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auto" w:fill="008C9B" w:themeFill="text2"/>
            <w:vAlign w:val="center"/>
            <w:hideMark/>
          </w:tcPr>
          <w:p w14:paraId="027EDC1F" w14:textId="238432BE" w:rsidR="00456C4A" w:rsidRPr="00015203" w:rsidRDefault="00456C4A" w:rsidP="00FD3B6A">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57CF5273" w14:textId="4023CF55"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An understanding of relevant circuitry may mean that telecoms and network installers could be quickly retrained to perform electrician-adjacent roles</w:t>
            </w:r>
          </w:p>
        </w:tc>
      </w:tr>
      <w:tr w:rsidR="00456C4A" w:rsidRPr="00015203" w14:paraId="227DFD1E"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1BA9D744"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5246</w:t>
            </w:r>
          </w:p>
        </w:tc>
        <w:tc>
          <w:tcPr>
            <w:tcW w:w="1584" w:type="dxa"/>
            <w:tcBorders>
              <w:top w:val="nil"/>
              <w:left w:val="nil"/>
              <w:bottom w:val="single" w:sz="8" w:space="0" w:color="auto"/>
              <w:right w:val="single" w:sz="8" w:space="0" w:color="auto"/>
            </w:tcBorders>
            <w:shd w:val="clear" w:color="000000" w:fill="FFFFFF"/>
            <w:vAlign w:val="center"/>
            <w:hideMark/>
          </w:tcPr>
          <w:p w14:paraId="5DB408B1"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Electrical service and maintenance mechanics and repairers</w:t>
            </w:r>
          </w:p>
        </w:tc>
        <w:tc>
          <w:tcPr>
            <w:tcW w:w="1517" w:type="dxa"/>
            <w:vMerge/>
            <w:tcBorders>
              <w:left w:val="nil"/>
              <w:right w:val="single" w:sz="8" w:space="0" w:color="auto"/>
            </w:tcBorders>
            <w:shd w:val="clear" w:color="000000" w:fill="262626"/>
            <w:vAlign w:val="center"/>
            <w:hideMark/>
          </w:tcPr>
          <w:p w14:paraId="5EBE68F5" w14:textId="2D1CDCBD"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right w:val="single" w:sz="8" w:space="0" w:color="auto"/>
            </w:tcBorders>
            <w:shd w:val="clear" w:color="auto" w:fill="008C9B" w:themeFill="text2"/>
            <w:vAlign w:val="center"/>
            <w:hideMark/>
          </w:tcPr>
          <w:p w14:paraId="49CD661B" w14:textId="317DF8B2" w:rsidR="00456C4A" w:rsidRPr="00015203" w:rsidRDefault="00456C4A" w:rsidP="00FD3B6A">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67D2F13F"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Highly likely to have necessary expertise in circuitry which can be transferred to retrofitting.</w:t>
            </w:r>
          </w:p>
        </w:tc>
      </w:tr>
      <w:tr w:rsidR="00456C4A" w:rsidRPr="00015203" w14:paraId="7E78C67B"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56642BB5"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8159</w:t>
            </w:r>
          </w:p>
        </w:tc>
        <w:tc>
          <w:tcPr>
            <w:tcW w:w="1584" w:type="dxa"/>
            <w:tcBorders>
              <w:top w:val="nil"/>
              <w:left w:val="nil"/>
              <w:bottom w:val="single" w:sz="8" w:space="0" w:color="auto"/>
              <w:right w:val="single" w:sz="8" w:space="0" w:color="auto"/>
            </w:tcBorders>
            <w:shd w:val="clear" w:color="000000" w:fill="FFFFFF"/>
            <w:vAlign w:val="center"/>
            <w:hideMark/>
          </w:tcPr>
          <w:p w14:paraId="5BEDA75A"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Construction operatives n.e.c.</w:t>
            </w:r>
          </w:p>
        </w:tc>
        <w:tc>
          <w:tcPr>
            <w:tcW w:w="1517" w:type="dxa"/>
            <w:vMerge/>
            <w:tcBorders>
              <w:left w:val="nil"/>
              <w:right w:val="single" w:sz="8" w:space="0" w:color="auto"/>
            </w:tcBorders>
            <w:shd w:val="clear" w:color="000000" w:fill="262626"/>
            <w:vAlign w:val="center"/>
            <w:hideMark/>
          </w:tcPr>
          <w:p w14:paraId="473A176A" w14:textId="51CF8680" w:rsidR="00456C4A" w:rsidRPr="00015203" w:rsidRDefault="00456C4A" w:rsidP="00FD3B6A">
            <w:pPr>
              <w:spacing w:after="0"/>
              <w:jc w:val="center"/>
              <w:rPr>
                <w:rFonts w:eastAsia="Times New Roman" w:cs="Arial"/>
                <w:b/>
                <w:bCs/>
                <w:color w:val="FFFFFF"/>
                <w:sz w:val="20"/>
                <w:lang w:eastAsia="en-GB"/>
              </w:rPr>
            </w:pPr>
          </w:p>
        </w:tc>
        <w:tc>
          <w:tcPr>
            <w:tcW w:w="1420" w:type="dxa"/>
            <w:vMerge/>
            <w:tcBorders>
              <w:left w:val="nil"/>
              <w:bottom w:val="single" w:sz="8" w:space="0" w:color="auto"/>
              <w:right w:val="single" w:sz="8" w:space="0" w:color="auto"/>
            </w:tcBorders>
            <w:shd w:val="clear" w:color="auto" w:fill="008C9B" w:themeFill="text2"/>
            <w:vAlign w:val="center"/>
            <w:hideMark/>
          </w:tcPr>
          <w:p w14:paraId="1AA110AE" w14:textId="0D48A3A2" w:rsidR="00456C4A" w:rsidRPr="00015203" w:rsidRDefault="00456C4A" w:rsidP="00FD3B6A">
            <w:pPr>
              <w:spacing w:after="0"/>
              <w:jc w:val="center"/>
              <w:rPr>
                <w:rFonts w:eastAsia="Times New Roman" w:cs="Arial"/>
                <w:b/>
                <w:bCs/>
                <w:color w:val="FFFFFF"/>
                <w:sz w:val="20"/>
                <w:lang w:eastAsia="en-GB"/>
              </w:rPr>
            </w:pPr>
          </w:p>
        </w:tc>
        <w:tc>
          <w:tcPr>
            <w:tcW w:w="4720" w:type="dxa"/>
            <w:tcBorders>
              <w:top w:val="nil"/>
              <w:left w:val="nil"/>
              <w:bottom w:val="single" w:sz="8" w:space="0" w:color="auto"/>
              <w:right w:val="single" w:sz="8" w:space="0" w:color="auto"/>
            </w:tcBorders>
            <w:shd w:val="clear" w:color="000000" w:fill="FFFFFF"/>
            <w:vAlign w:val="center"/>
            <w:hideMark/>
          </w:tcPr>
          <w:p w14:paraId="3009AE84" w14:textId="1BEDE7FB"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While the category is broad, many are counted under SICs 432 and 433 in the SIC-SOC matrix which denotes relevance to retrofit.</w:t>
            </w:r>
          </w:p>
        </w:tc>
      </w:tr>
      <w:tr w:rsidR="00456C4A" w:rsidRPr="00015203" w14:paraId="0F9FCEF7"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7A63564A"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9121</w:t>
            </w:r>
          </w:p>
        </w:tc>
        <w:tc>
          <w:tcPr>
            <w:tcW w:w="1584" w:type="dxa"/>
            <w:tcBorders>
              <w:top w:val="nil"/>
              <w:left w:val="nil"/>
              <w:bottom w:val="single" w:sz="8" w:space="0" w:color="auto"/>
              <w:right w:val="single" w:sz="8" w:space="0" w:color="auto"/>
            </w:tcBorders>
            <w:shd w:val="clear" w:color="000000" w:fill="FFFFFF"/>
            <w:vAlign w:val="center"/>
            <w:hideMark/>
          </w:tcPr>
          <w:p w14:paraId="4FF24D97"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Groundworkers</w:t>
            </w:r>
          </w:p>
        </w:tc>
        <w:tc>
          <w:tcPr>
            <w:tcW w:w="1517" w:type="dxa"/>
            <w:vMerge/>
            <w:tcBorders>
              <w:left w:val="nil"/>
              <w:right w:val="single" w:sz="8" w:space="0" w:color="auto"/>
            </w:tcBorders>
            <w:shd w:val="clear" w:color="000000" w:fill="262626"/>
            <w:vAlign w:val="center"/>
            <w:hideMark/>
          </w:tcPr>
          <w:p w14:paraId="1D978BAD" w14:textId="54FA17E4" w:rsidR="00456C4A" w:rsidRPr="00015203" w:rsidRDefault="00456C4A" w:rsidP="00FD3B6A">
            <w:pPr>
              <w:spacing w:after="0"/>
              <w:jc w:val="center"/>
              <w:rPr>
                <w:rFonts w:eastAsia="Times New Roman" w:cs="Arial"/>
                <w:b/>
                <w:bCs/>
                <w:color w:val="FFFFFF"/>
                <w:sz w:val="20"/>
                <w:lang w:eastAsia="en-GB"/>
              </w:rPr>
            </w:pPr>
          </w:p>
        </w:tc>
        <w:tc>
          <w:tcPr>
            <w:tcW w:w="1420" w:type="dxa"/>
            <w:tcBorders>
              <w:top w:val="nil"/>
              <w:left w:val="nil"/>
              <w:bottom w:val="single" w:sz="8" w:space="0" w:color="auto"/>
              <w:right w:val="nil"/>
            </w:tcBorders>
            <w:shd w:val="clear" w:color="auto" w:fill="2AEAFF" w:themeFill="text2" w:themeFillTint="99"/>
            <w:vAlign w:val="center"/>
            <w:hideMark/>
          </w:tcPr>
          <w:p w14:paraId="59D61BF3" w14:textId="77777777" w:rsidR="00456C4A" w:rsidRPr="00015203" w:rsidRDefault="00456C4A" w:rsidP="00FD3B6A">
            <w:pPr>
              <w:spacing w:after="0"/>
              <w:jc w:val="center"/>
              <w:rPr>
                <w:rFonts w:eastAsia="Times New Roman" w:cs="Arial"/>
                <w:b/>
                <w:bCs/>
                <w:color w:val="auto"/>
                <w:sz w:val="20"/>
                <w:lang w:eastAsia="en-GB"/>
              </w:rPr>
            </w:pPr>
            <w:r w:rsidRPr="00015203">
              <w:rPr>
                <w:rFonts w:eastAsia="Times New Roman" w:cs="Arial"/>
                <w:b/>
                <w:bCs/>
                <w:color w:val="auto"/>
                <w:sz w:val="20"/>
                <w:lang w:eastAsia="en-GB"/>
              </w:rPr>
              <w:t>Support</w:t>
            </w:r>
          </w:p>
        </w:tc>
        <w:tc>
          <w:tcPr>
            <w:tcW w:w="4720" w:type="dxa"/>
            <w:tcBorders>
              <w:top w:val="nil"/>
              <w:left w:val="single" w:sz="8" w:space="0" w:color="auto"/>
              <w:bottom w:val="single" w:sz="8" w:space="0" w:color="auto"/>
              <w:right w:val="single" w:sz="8" w:space="0" w:color="auto"/>
            </w:tcBorders>
            <w:shd w:val="clear" w:color="000000" w:fill="FFFFFF"/>
            <w:vAlign w:val="center"/>
            <w:hideMark/>
          </w:tcPr>
          <w:p w14:paraId="05FB2AA6"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Groundworkers could be redeployed to large-scale construction projects to ensure that sites remain safe throughout the operation.</w:t>
            </w:r>
          </w:p>
        </w:tc>
      </w:tr>
      <w:tr w:rsidR="00456C4A" w:rsidRPr="00015203" w14:paraId="28C143DD" w14:textId="77777777" w:rsidTr="00EF68DE">
        <w:trPr>
          <w:trHeight w:val="1380"/>
          <w:jc w:val="center"/>
        </w:trPr>
        <w:tc>
          <w:tcPr>
            <w:tcW w:w="1100" w:type="dxa"/>
            <w:tcBorders>
              <w:top w:val="nil"/>
              <w:left w:val="single" w:sz="8" w:space="0" w:color="auto"/>
              <w:bottom w:val="single" w:sz="8" w:space="0" w:color="auto"/>
              <w:right w:val="single" w:sz="8" w:space="0" w:color="auto"/>
            </w:tcBorders>
            <w:shd w:val="clear" w:color="000000" w:fill="FFFFFF"/>
            <w:vAlign w:val="center"/>
            <w:hideMark/>
          </w:tcPr>
          <w:p w14:paraId="00D3971A"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3574</w:t>
            </w:r>
          </w:p>
        </w:tc>
        <w:tc>
          <w:tcPr>
            <w:tcW w:w="1584" w:type="dxa"/>
            <w:tcBorders>
              <w:top w:val="nil"/>
              <w:left w:val="nil"/>
              <w:bottom w:val="single" w:sz="8" w:space="0" w:color="auto"/>
              <w:right w:val="single" w:sz="8" w:space="0" w:color="auto"/>
            </w:tcBorders>
            <w:shd w:val="clear" w:color="000000" w:fill="FFFFFF"/>
            <w:vAlign w:val="center"/>
            <w:hideMark/>
          </w:tcPr>
          <w:p w14:paraId="50586ADB" w14:textId="77777777"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Other vocational and industrial trainers</w:t>
            </w:r>
          </w:p>
        </w:tc>
        <w:tc>
          <w:tcPr>
            <w:tcW w:w="1517" w:type="dxa"/>
            <w:vMerge/>
            <w:tcBorders>
              <w:left w:val="nil"/>
              <w:bottom w:val="single" w:sz="8" w:space="0" w:color="auto"/>
              <w:right w:val="single" w:sz="8" w:space="0" w:color="auto"/>
            </w:tcBorders>
            <w:shd w:val="clear" w:color="000000" w:fill="262626"/>
            <w:vAlign w:val="center"/>
            <w:hideMark/>
          </w:tcPr>
          <w:p w14:paraId="6B08260E" w14:textId="16462240" w:rsidR="00456C4A" w:rsidRPr="00015203" w:rsidRDefault="00456C4A" w:rsidP="00FD3B6A">
            <w:pPr>
              <w:spacing w:after="0"/>
              <w:jc w:val="center"/>
              <w:rPr>
                <w:rFonts w:eastAsia="Times New Roman" w:cs="Arial"/>
                <w:b/>
                <w:bCs/>
                <w:color w:val="FFFFFF"/>
                <w:sz w:val="20"/>
                <w:lang w:eastAsia="en-GB"/>
              </w:rPr>
            </w:pPr>
          </w:p>
        </w:tc>
        <w:tc>
          <w:tcPr>
            <w:tcW w:w="1420" w:type="dxa"/>
            <w:tcBorders>
              <w:top w:val="nil"/>
              <w:left w:val="nil"/>
              <w:bottom w:val="single" w:sz="8" w:space="0" w:color="auto"/>
              <w:right w:val="single" w:sz="8" w:space="0" w:color="auto"/>
            </w:tcBorders>
            <w:shd w:val="clear" w:color="auto" w:fill="B8F8FF" w:themeFill="text2" w:themeFillTint="33"/>
            <w:vAlign w:val="center"/>
            <w:hideMark/>
          </w:tcPr>
          <w:p w14:paraId="32A8CBDE" w14:textId="77777777" w:rsidR="00456C4A" w:rsidRPr="00015203" w:rsidRDefault="00456C4A" w:rsidP="00FD3B6A">
            <w:pPr>
              <w:spacing w:after="0"/>
              <w:jc w:val="center"/>
              <w:rPr>
                <w:rFonts w:eastAsia="Times New Roman" w:cs="Arial"/>
                <w:b/>
                <w:bCs/>
                <w:color w:val="auto"/>
                <w:sz w:val="20"/>
                <w:lang w:eastAsia="en-GB"/>
              </w:rPr>
            </w:pPr>
            <w:r w:rsidRPr="00015203">
              <w:rPr>
                <w:rFonts w:eastAsia="Times New Roman" w:cs="Arial"/>
                <w:b/>
                <w:bCs/>
                <w:color w:val="auto"/>
                <w:sz w:val="20"/>
                <w:lang w:eastAsia="en-GB"/>
              </w:rPr>
              <w:t>Supervisory</w:t>
            </w:r>
          </w:p>
        </w:tc>
        <w:tc>
          <w:tcPr>
            <w:tcW w:w="4720" w:type="dxa"/>
            <w:tcBorders>
              <w:top w:val="nil"/>
              <w:left w:val="nil"/>
              <w:bottom w:val="single" w:sz="8" w:space="0" w:color="auto"/>
              <w:right w:val="single" w:sz="8" w:space="0" w:color="auto"/>
            </w:tcBorders>
            <w:shd w:val="clear" w:color="000000" w:fill="FFFFFF"/>
            <w:vAlign w:val="center"/>
            <w:hideMark/>
          </w:tcPr>
          <w:p w14:paraId="10A1C2F7" w14:textId="3183FC3E" w:rsidR="00456C4A" w:rsidRPr="00015203" w:rsidRDefault="00456C4A" w:rsidP="00FD3B6A">
            <w:pPr>
              <w:spacing w:after="0"/>
              <w:jc w:val="center"/>
              <w:rPr>
                <w:rFonts w:eastAsia="Times New Roman" w:cs="Arial"/>
                <w:color w:val="000000"/>
                <w:sz w:val="20"/>
                <w:lang w:eastAsia="en-GB"/>
              </w:rPr>
            </w:pPr>
            <w:r w:rsidRPr="00015203">
              <w:rPr>
                <w:rFonts w:eastAsia="Times New Roman" w:cs="Arial"/>
                <w:color w:val="000000"/>
                <w:sz w:val="20"/>
                <w:lang w:eastAsia="en-GB"/>
              </w:rPr>
              <w:t>Trainers and instructors in retrofit-relevant sectors could be redeployed to supervise ongoing retrofit projects.</w:t>
            </w:r>
          </w:p>
        </w:tc>
      </w:tr>
    </w:tbl>
    <w:p w14:paraId="352B54AC" w14:textId="77777777" w:rsidR="001256DD" w:rsidRPr="00015203" w:rsidRDefault="001256DD" w:rsidP="000D37D8"/>
    <w:p w14:paraId="31539FE1" w14:textId="48D60FE1" w:rsidR="00E2407F" w:rsidRPr="00731F50" w:rsidRDefault="001256DD" w:rsidP="000E4ED2">
      <w:pPr>
        <w:pStyle w:val="Heading2"/>
      </w:pPr>
      <w:bookmarkStart w:id="18" w:name="_Toc221182654"/>
      <w:r w:rsidRPr="00731F50">
        <w:lastRenderedPageBreak/>
        <w:t>Capacity estimates</w:t>
      </w:r>
      <w:bookmarkEnd w:id="18"/>
    </w:p>
    <w:p w14:paraId="7800646F" w14:textId="119C8878" w:rsidR="0081626E" w:rsidRDefault="0081626E" w:rsidP="0081626E">
      <w:pPr>
        <w:spacing w:after="120" w:line="278" w:lineRule="auto"/>
        <w:jc w:val="both"/>
      </w:pPr>
      <w:r>
        <w:t>Using the SIC-SOC matrices, we estimate the number of workers in Wales who are already employed in core retrofit roles. A more detailed breakdown by individual job type is provided in the Appendices. We first identify the occupations that are central to retrofit delivery and match them to the construction activities where this work typically takes place. Where the data are incomplete because too few people are observed in a specific category, we apply a consistent adjustment method to ensure these workers are not omitted from the totals.</w:t>
      </w:r>
    </w:p>
    <w:p w14:paraId="796F66A6" w14:textId="17E4F91C" w:rsidR="0081626E" w:rsidRDefault="0081626E" w:rsidP="0081626E">
      <w:pPr>
        <w:spacing w:after="120" w:line="278" w:lineRule="auto"/>
        <w:jc w:val="both"/>
      </w:pPr>
      <w:r>
        <w:t xml:space="preserve">We then combine the results for all relevant occupations to produce an overall estimate of the core retrofit workforce in Wales. These figures are subsequently split by region using the approach described </w:t>
      </w:r>
      <w:r w:rsidR="008A43AC">
        <w:t>on page 1</w:t>
      </w:r>
      <w:r w:rsidR="008879A5">
        <w:t>3</w:t>
      </w:r>
      <w:r>
        <w:t xml:space="preserve">, allowing us to estimate workforce capacity separately for the </w:t>
      </w:r>
      <w:r w:rsidR="008A43AC">
        <w:t>four</w:t>
      </w:r>
      <w:r>
        <w:t xml:space="preserve"> Welsh regions. The regional results are then brought together to show total core retrofit workforce capacity at both the national and regional level.</w:t>
      </w:r>
    </w:p>
    <w:p w14:paraId="4F51E5A1" w14:textId="25F5BBF7" w:rsidR="00BA1EB8" w:rsidRPr="0081626E" w:rsidRDefault="0081626E" w:rsidP="0081626E">
      <w:pPr>
        <w:pStyle w:val="Caption"/>
        <w:rPr>
          <w:color w:val="40403E"/>
          <w:sz w:val="22"/>
          <w:szCs w:val="20"/>
        </w:rPr>
      </w:pPr>
      <w:r w:rsidRPr="0081626E">
        <w:rPr>
          <w:color w:val="6D6E71" w:themeColor="accent3"/>
          <w:sz w:val="18"/>
          <w:szCs w:val="14"/>
        </w:rPr>
        <w:t xml:space="preserve">Table </w:t>
      </w:r>
      <w:r w:rsidRPr="0081626E">
        <w:rPr>
          <w:color w:val="6D6E71" w:themeColor="accent3"/>
          <w:sz w:val="18"/>
          <w:szCs w:val="14"/>
        </w:rPr>
        <w:fldChar w:fldCharType="begin"/>
      </w:r>
      <w:r w:rsidRPr="0081626E">
        <w:rPr>
          <w:color w:val="6D6E71" w:themeColor="accent3"/>
          <w:sz w:val="18"/>
          <w:szCs w:val="14"/>
        </w:rPr>
        <w:instrText xml:space="preserve"> SEQ Table \* ARABIC </w:instrText>
      </w:r>
      <w:r w:rsidRPr="0081626E">
        <w:rPr>
          <w:color w:val="6D6E71" w:themeColor="accent3"/>
          <w:sz w:val="18"/>
          <w:szCs w:val="14"/>
        </w:rPr>
        <w:fldChar w:fldCharType="separate"/>
      </w:r>
      <w:r w:rsidR="004775B5">
        <w:rPr>
          <w:noProof/>
          <w:color w:val="6D6E71" w:themeColor="accent3"/>
          <w:sz w:val="18"/>
          <w:szCs w:val="14"/>
        </w:rPr>
        <w:t>3</w:t>
      </w:r>
      <w:r w:rsidRPr="0081626E">
        <w:rPr>
          <w:color w:val="6D6E71" w:themeColor="accent3"/>
          <w:sz w:val="18"/>
          <w:szCs w:val="14"/>
        </w:rPr>
        <w:fldChar w:fldCharType="end"/>
      </w:r>
      <w:r w:rsidRPr="0081626E">
        <w:rPr>
          <w:color w:val="6D6E71" w:themeColor="accent3"/>
          <w:sz w:val="18"/>
          <w:szCs w:val="14"/>
        </w:rPr>
        <w:t>:</w:t>
      </w:r>
      <w:r>
        <w:rPr>
          <w:color w:val="6D6E71" w:themeColor="accent3"/>
          <w:sz w:val="18"/>
          <w:szCs w:val="14"/>
        </w:rPr>
        <w:t xml:space="preserve"> </w:t>
      </w:r>
      <w:r w:rsidR="00B26A0B" w:rsidRPr="00015203">
        <w:rPr>
          <w:color w:val="6D6E71" w:themeColor="accent3"/>
          <w:sz w:val="18"/>
        </w:rPr>
        <w:t>Core retrofit</w:t>
      </w:r>
      <w:r w:rsidR="00BA1EB8" w:rsidRPr="00015203">
        <w:rPr>
          <w:color w:val="6D6E71" w:themeColor="accent3"/>
          <w:sz w:val="18"/>
        </w:rPr>
        <w:t xml:space="preserve"> workforce capacity estimates in Wales by </w:t>
      </w:r>
      <w:r w:rsidR="00A71219">
        <w:rPr>
          <w:color w:val="6D6E71" w:themeColor="accent3"/>
          <w:sz w:val="18"/>
        </w:rPr>
        <w:t>function subcategory</w:t>
      </w:r>
      <w:r w:rsidR="00DC2238">
        <w:rPr>
          <w:color w:val="6D6E71" w:themeColor="accent3"/>
          <w:sz w:val="18"/>
        </w:rPr>
        <w:t xml:space="preserve"> and region</w:t>
      </w:r>
      <w:r>
        <w:rPr>
          <w:color w:val="6D6E71" w:themeColor="accent3"/>
          <w:sz w:val="18"/>
        </w:rPr>
        <w:t xml:space="preserve"> (rounded to nearest 100s – totals may differ due to rounding)</w:t>
      </w:r>
    </w:p>
    <w:tbl>
      <w:tblPr>
        <w:tblW w:w="5000" w:type="pct"/>
        <w:jc w:val="center"/>
        <w:tblLook w:val="04A0" w:firstRow="1" w:lastRow="0" w:firstColumn="1" w:lastColumn="0" w:noHBand="0" w:noVBand="1"/>
        <w:tblCaption w:val="Table 3: Core retrofit workforce capacity estimates in Wales by function subcategory and region (rounded to nearest 100s – totals may differ due to rounding)"/>
        <w:tblDescription w:val="Table showing estimated core retrofit workforce capacity in Wales by region and functional category, including direct, support, and supervisory roles, with totals for each region and for Wales overall."/>
      </w:tblPr>
      <w:tblGrid>
        <w:gridCol w:w="1924"/>
        <w:gridCol w:w="1924"/>
        <w:gridCol w:w="1923"/>
        <w:gridCol w:w="1923"/>
        <w:gridCol w:w="1336"/>
      </w:tblGrid>
      <w:tr w:rsidR="00DC2238" w:rsidRPr="00DC2238" w14:paraId="02D4A430" w14:textId="77777777" w:rsidTr="0081626E">
        <w:trPr>
          <w:trHeight w:val="300"/>
          <w:jc w:val="center"/>
        </w:trPr>
        <w:tc>
          <w:tcPr>
            <w:tcW w:w="1065" w:type="pct"/>
            <w:tcBorders>
              <w:top w:val="single" w:sz="8" w:space="0" w:color="auto"/>
              <w:left w:val="single" w:sz="8" w:space="0" w:color="auto"/>
              <w:bottom w:val="single" w:sz="8" w:space="0" w:color="auto"/>
              <w:right w:val="single" w:sz="8" w:space="0" w:color="auto"/>
            </w:tcBorders>
            <w:shd w:val="clear" w:color="000000" w:fill="00464D"/>
            <w:vAlign w:val="center"/>
            <w:hideMark/>
          </w:tcPr>
          <w:p w14:paraId="2E16A846" w14:textId="77777777" w:rsidR="00DC2238" w:rsidRPr="00DC2238" w:rsidRDefault="00DC2238" w:rsidP="00DC2238">
            <w:pPr>
              <w:spacing w:after="0"/>
              <w:jc w:val="center"/>
              <w:rPr>
                <w:rFonts w:eastAsia="Times New Roman" w:cs="Calibri"/>
                <w:b/>
                <w:bCs/>
                <w:color w:val="FFFFFF"/>
                <w:sz w:val="20"/>
                <w:lang w:eastAsia="en-GB"/>
              </w:rPr>
            </w:pPr>
            <w:r w:rsidRPr="00DC2238">
              <w:rPr>
                <w:rFonts w:eastAsia="Times New Roman" w:cs="Calibri"/>
                <w:b/>
                <w:bCs/>
                <w:color w:val="FFFFFF"/>
                <w:sz w:val="20"/>
                <w:lang w:eastAsia="en-GB"/>
              </w:rPr>
              <w:t>Region</w:t>
            </w:r>
          </w:p>
        </w:tc>
        <w:tc>
          <w:tcPr>
            <w:tcW w:w="1065" w:type="pct"/>
            <w:tcBorders>
              <w:top w:val="single" w:sz="8" w:space="0" w:color="auto"/>
              <w:left w:val="nil"/>
              <w:bottom w:val="single" w:sz="8" w:space="0" w:color="auto"/>
              <w:right w:val="single" w:sz="8" w:space="0" w:color="auto"/>
            </w:tcBorders>
            <w:shd w:val="clear" w:color="000000" w:fill="00464D"/>
            <w:vAlign w:val="center"/>
            <w:hideMark/>
          </w:tcPr>
          <w:p w14:paraId="36425EE5" w14:textId="77777777" w:rsidR="00DC2238" w:rsidRPr="00DC2238" w:rsidRDefault="00DC2238" w:rsidP="00DC2238">
            <w:pPr>
              <w:spacing w:after="0"/>
              <w:jc w:val="center"/>
              <w:rPr>
                <w:rFonts w:eastAsia="Times New Roman" w:cs="Calibri"/>
                <w:b/>
                <w:bCs/>
                <w:color w:val="FFFFFF"/>
                <w:sz w:val="20"/>
                <w:lang w:eastAsia="en-GB"/>
              </w:rPr>
            </w:pPr>
            <w:r w:rsidRPr="00DC2238">
              <w:rPr>
                <w:rFonts w:eastAsia="Times New Roman" w:cs="Calibri"/>
                <w:b/>
                <w:bCs/>
                <w:color w:val="FFFFFF"/>
                <w:sz w:val="20"/>
                <w:lang w:eastAsia="en-GB"/>
              </w:rPr>
              <w:t>Direct</w:t>
            </w:r>
          </w:p>
        </w:tc>
        <w:tc>
          <w:tcPr>
            <w:tcW w:w="1065" w:type="pct"/>
            <w:tcBorders>
              <w:top w:val="single" w:sz="8" w:space="0" w:color="auto"/>
              <w:left w:val="nil"/>
              <w:bottom w:val="single" w:sz="8" w:space="0" w:color="auto"/>
              <w:right w:val="single" w:sz="8" w:space="0" w:color="auto"/>
            </w:tcBorders>
            <w:shd w:val="clear" w:color="000000" w:fill="00464D"/>
            <w:vAlign w:val="center"/>
            <w:hideMark/>
          </w:tcPr>
          <w:p w14:paraId="2B3F4C63" w14:textId="77777777" w:rsidR="00DC2238" w:rsidRPr="00DC2238" w:rsidRDefault="00DC2238" w:rsidP="00DC2238">
            <w:pPr>
              <w:spacing w:after="0"/>
              <w:jc w:val="center"/>
              <w:rPr>
                <w:rFonts w:eastAsia="Times New Roman" w:cs="Calibri"/>
                <w:b/>
                <w:bCs/>
                <w:color w:val="FFFFFF"/>
                <w:sz w:val="20"/>
                <w:lang w:eastAsia="en-GB"/>
              </w:rPr>
            </w:pPr>
            <w:r w:rsidRPr="00DC2238">
              <w:rPr>
                <w:rFonts w:eastAsia="Times New Roman" w:cs="Calibri"/>
                <w:b/>
                <w:bCs/>
                <w:color w:val="FFFFFF"/>
                <w:sz w:val="20"/>
                <w:lang w:eastAsia="en-GB"/>
              </w:rPr>
              <w:t>Support</w:t>
            </w:r>
          </w:p>
        </w:tc>
        <w:tc>
          <w:tcPr>
            <w:tcW w:w="1065" w:type="pct"/>
            <w:tcBorders>
              <w:top w:val="single" w:sz="8" w:space="0" w:color="auto"/>
              <w:left w:val="nil"/>
              <w:bottom w:val="single" w:sz="8" w:space="0" w:color="auto"/>
              <w:right w:val="single" w:sz="8" w:space="0" w:color="auto"/>
            </w:tcBorders>
            <w:shd w:val="clear" w:color="000000" w:fill="00464D"/>
            <w:vAlign w:val="center"/>
            <w:hideMark/>
          </w:tcPr>
          <w:p w14:paraId="36623999" w14:textId="77777777" w:rsidR="00DC2238" w:rsidRPr="00DC2238" w:rsidRDefault="00DC2238" w:rsidP="00DC2238">
            <w:pPr>
              <w:spacing w:after="0"/>
              <w:jc w:val="center"/>
              <w:rPr>
                <w:rFonts w:eastAsia="Times New Roman" w:cs="Calibri"/>
                <w:b/>
                <w:bCs/>
                <w:color w:val="FFFFFF"/>
                <w:sz w:val="20"/>
                <w:lang w:eastAsia="en-GB"/>
              </w:rPr>
            </w:pPr>
            <w:r w:rsidRPr="00DC2238">
              <w:rPr>
                <w:rFonts w:eastAsia="Times New Roman" w:cs="Calibri"/>
                <w:b/>
                <w:bCs/>
                <w:color w:val="FFFFFF"/>
                <w:sz w:val="20"/>
                <w:lang w:eastAsia="en-GB"/>
              </w:rPr>
              <w:t>Supervisory</w:t>
            </w:r>
          </w:p>
        </w:tc>
        <w:tc>
          <w:tcPr>
            <w:tcW w:w="740" w:type="pct"/>
            <w:tcBorders>
              <w:top w:val="single" w:sz="8" w:space="0" w:color="auto"/>
              <w:left w:val="nil"/>
              <w:bottom w:val="single" w:sz="8" w:space="0" w:color="auto"/>
              <w:right w:val="single" w:sz="8" w:space="0" w:color="auto"/>
            </w:tcBorders>
            <w:shd w:val="clear" w:color="000000" w:fill="00464D"/>
            <w:vAlign w:val="center"/>
            <w:hideMark/>
          </w:tcPr>
          <w:p w14:paraId="71486EEE" w14:textId="77777777" w:rsidR="00DC2238" w:rsidRPr="00DC2238" w:rsidRDefault="00DC2238" w:rsidP="00DC2238">
            <w:pPr>
              <w:spacing w:after="0"/>
              <w:jc w:val="center"/>
              <w:rPr>
                <w:rFonts w:eastAsia="Times New Roman" w:cs="Calibri"/>
                <w:b/>
                <w:bCs/>
                <w:color w:val="FFFFFF"/>
                <w:sz w:val="20"/>
                <w:lang w:eastAsia="en-GB"/>
              </w:rPr>
            </w:pPr>
            <w:r w:rsidRPr="00DC2238">
              <w:rPr>
                <w:rFonts w:eastAsia="Times New Roman" w:cs="Calibri"/>
                <w:b/>
                <w:bCs/>
                <w:color w:val="FFFFFF"/>
                <w:sz w:val="20"/>
                <w:lang w:eastAsia="en-GB"/>
              </w:rPr>
              <w:t>Total</w:t>
            </w:r>
          </w:p>
        </w:tc>
      </w:tr>
      <w:tr w:rsidR="0081626E" w:rsidRPr="00DC2238" w14:paraId="4392D42B" w14:textId="77777777">
        <w:trPr>
          <w:trHeight w:val="690"/>
          <w:jc w:val="center"/>
        </w:trPr>
        <w:tc>
          <w:tcPr>
            <w:tcW w:w="1065" w:type="pct"/>
            <w:tcBorders>
              <w:top w:val="single" w:sz="8" w:space="0" w:color="auto"/>
              <w:left w:val="single" w:sz="8" w:space="0" w:color="auto"/>
              <w:bottom w:val="single" w:sz="8" w:space="0" w:color="auto"/>
              <w:right w:val="single" w:sz="8" w:space="0" w:color="auto"/>
            </w:tcBorders>
            <w:vAlign w:val="center"/>
            <w:hideMark/>
          </w:tcPr>
          <w:p w14:paraId="32AB8581" w14:textId="06B74BCC" w:rsidR="0081626E" w:rsidRPr="0081626E" w:rsidRDefault="0081626E" w:rsidP="0081626E">
            <w:pPr>
              <w:spacing w:after="0"/>
              <w:jc w:val="center"/>
              <w:rPr>
                <w:rFonts w:eastAsia="Times New Roman"/>
                <w:color w:val="000000"/>
                <w:sz w:val="20"/>
                <w:lang w:eastAsia="en-GB"/>
              </w:rPr>
            </w:pPr>
            <w:r w:rsidRPr="0081626E">
              <w:rPr>
                <w:color w:val="000000"/>
                <w:sz w:val="20"/>
              </w:rPr>
              <w:t>South East Wales</w:t>
            </w:r>
          </w:p>
        </w:tc>
        <w:tc>
          <w:tcPr>
            <w:tcW w:w="1065" w:type="pct"/>
            <w:tcBorders>
              <w:top w:val="single" w:sz="8" w:space="0" w:color="auto"/>
              <w:left w:val="nil"/>
              <w:bottom w:val="single" w:sz="8" w:space="0" w:color="auto"/>
              <w:right w:val="single" w:sz="8" w:space="0" w:color="auto"/>
            </w:tcBorders>
            <w:shd w:val="clear" w:color="000000" w:fill="FFFFFF"/>
            <w:vAlign w:val="center"/>
            <w:hideMark/>
          </w:tcPr>
          <w:p w14:paraId="792D64F4" w14:textId="00256934" w:rsidR="0081626E" w:rsidRPr="0081626E" w:rsidRDefault="0081626E" w:rsidP="0081626E">
            <w:pPr>
              <w:spacing w:after="0"/>
              <w:jc w:val="center"/>
              <w:rPr>
                <w:rFonts w:eastAsia="Times New Roman"/>
                <w:color w:val="000000"/>
                <w:sz w:val="20"/>
                <w:lang w:eastAsia="en-GB"/>
              </w:rPr>
            </w:pPr>
            <w:r w:rsidRPr="0081626E">
              <w:rPr>
                <w:color w:val="000000"/>
                <w:sz w:val="20"/>
              </w:rPr>
              <w:t>6,</w:t>
            </w:r>
            <w:r w:rsidR="00972545">
              <w:rPr>
                <w:color w:val="000000"/>
                <w:sz w:val="20"/>
              </w:rPr>
              <w:t>5</w:t>
            </w:r>
            <w:r>
              <w:rPr>
                <w:color w:val="000000"/>
                <w:sz w:val="20"/>
              </w:rPr>
              <w:t>00</w:t>
            </w:r>
          </w:p>
        </w:tc>
        <w:tc>
          <w:tcPr>
            <w:tcW w:w="1065" w:type="pct"/>
            <w:tcBorders>
              <w:top w:val="single" w:sz="8" w:space="0" w:color="auto"/>
              <w:left w:val="nil"/>
              <w:bottom w:val="single" w:sz="8" w:space="0" w:color="auto"/>
              <w:right w:val="single" w:sz="8" w:space="0" w:color="auto"/>
            </w:tcBorders>
            <w:shd w:val="clear" w:color="000000" w:fill="FFFFFF"/>
            <w:vAlign w:val="center"/>
            <w:hideMark/>
          </w:tcPr>
          <w:p w14:paraId="5D86D33C" w14:textId="0FF6F562" w:rsidR="0081626E" w:rsidRPr="0081626E" w:rsidRDefault="0081626E" w:rsidP="0081626E">
            <w:pPr>
              <w:spacing w:after="0"/>
              <w:jc w:val="center"/>
              <w:rPr>
                <w:rFonts w:eastAsia="Times New Roman"/>
                <w:color w:val="000000"/>
                <w:sz w:val="20"/>
                <w:lang w:eastAsia="en-GB"/>
              </w:rPr>
            </w:pPr>
            <w:r w:rsidRPr="0081626E">
              <w:rPr>
                <w:color w:val="000000"/>
                <w:sz w:val="20"/>
              </w:rPr>
              <w:t>5,</w:t>
            </w:r>
            <w:r w:rsidR="00972545">
              <w:rPr>
                <w:color w:val="000000"/>
                <w:sz w:val="20"/>
              </w:rPr>
              <w:t>3</w:t>
            </w:r>
            <w:r>
              <w:rPr>
                <w:color w:val="000000"/>
                <w:sz w:val="20"/>
              </w:rPr>
              <w:t>00</w:t>
            </w:r>
          </w:p>
        </w:tc>
        <w:tc>
          <w:tcPr>
            <w:tcW w:w="1065" w:type="pct"/>
            <w:tcBorders>
              <w:top w:val="single" w:sz="8" w:space="0" w:color="auto"/>
              <w:left w:val="nil"/>
              <w:bottom w:val="single" w:sz="8" w:space="0" w:color="auto"/>
              <w:right w:val="single" w:sz="8" w:space="0" w:color="auto"/>
            </w:tcBorders>
            <w:shd w:val="clear" w:color="000000" w:fill="FFFFFF"/>
            <w:vAlign w:val="center"/>
            <w:hideMark/>
          </w:tcPr>
          <w:p w14:paraId="18628289" w14:textId="7FE71389" w:rsidR="0081626E" w:rsidRPr="0081626E" w:rsidRDefault="00972545" w:rsidP="0081626E">
            <w:pPr>
              <w:spacing w:after="0"/>
              <w:jc w:val="center"/>
              <w:rPr>
                <w:rFonts w:eastAsia="Times New Roman"/>
                <w:color w:val="000000"/>
                <w:sz w:val="20"/>
                <w:lang w:eastAsia="en-GB"/>
              </w:rPr>
            </w:pPr>
            <w:r>
              <w:rPr>
                <w:color w:val="000000"/>
                <w:sz w:val="20"/>
              </w:rPr>
              <w:t>1,600</w:t>
            </w:r>
          </w:p>
        </w:tc>
        <w:tc>
          <w:tcPr>
            <w:tcW w:w="740" w:type="pct"/>
            <w:tcBorders>
              <w:top w:val="single" w:sz="8" w:space="0" w:color="auto"/>
              <w:left w:val="nil"/>
              <w:bottom w:val="single" w:sz="8" w:space="0" w:color="auto"/>
              <w:right w:val="single" w:sz="8" w:space="0" w:color="auto"/>
            </w:tcBorders>
            <w:shd w:val="clear" w:color="000000" w:fill="FFFFFF"/>
            <w:vAlign w:val="center"/>
            <w:hideMark/>
          </w:tcPr>
          <w:p w14:paraId="16367E2A" w14:textId="7063FCB5" w:rsidR="0081626E" w:rsidRPr="0081626E" w:rsidRDefault="0081626E" w:rsidP="0081626E">
            <w:pPr>
              <w:spacing w:after="0"/>
              <w:jc w:val="center"/>
              <w:rPr>
                <w:rFonts w:eastAsia="Times New Roman"/>
                <w:color w:val="000000"/>
                <w:sz w:val="20"/>
                <w:lang w:eastAsia="en-GB"/>
              </w:rPr>
            </w:pPr>
            <w:r>
              <w:rPr>
                <w:color w:val="000000"/>
                <w:sz w:val="20"/>
              </w:rPr>
              <w:t>13,</w:t>
            </w:r>
            <w:r w:rsidR="00972545">
              <w:rPr>
                <w:color w:val="000000"/>
                <w:sz w:val="20"/>
              </w:rPr>
              <w:t>5</w:t>
            </w:r>
            <w:r>
              <w:rPr>
                <w:color w:val="000000"/>
                <w:sz w:val="20"/>
              </w:rPr>
              <w:t>00</w:t>
            </w:r>
          </w:p>
        </w:tc>
      </w:tr>
      <w:tr w:rsidR="0081626E" w:rsidRPr="00DC2238" w14:paraId="06F53864" w14:textId="77777777" w:rsidTr="0081626E">
        <w:trPr>
          <w:trHeight w:val="690"/>
          <w:jc w:val="center"/>
        </w:trPr>
        <w:tc>
          <w:tcPr>
            <w:tcW w:w="1065" w:type="pct"/>
            <w:tcBorders>
              <w:top w:val="nil"/>
              <w:left w:val="single" w:sz="8" w:space="0" w:color="auto"/>
              <w:bottom w:val="single" w:sz="8" w:space="0" w:color="auto"/>
              <w:right w:val="single" w:sz="8" w:space="0" w:color="auto"/>
            </w:tcBorders>
            <w:vAlign w:val="center"/>
            <w:hideMark/>
          </w:tcPr>
          <w:p w14:paraId="72E25753" w14:textId="5B7A75A6" w:rsidR="0081626E" w:rsidRPr="0081626E" w:rsidRDefault="0081626E" w:rsidP="0081626E">
            <w:pPr>
              <w:spacing w:after="0"/>
              <w:jc w:val="center"/>
              <w:rPr>
                <w:rFonts w:eastAsia="Times New Roman"/>
                <w:color w:val="000000"/>
                <w:sz w:val="20"/>
                <w:lang w:eastAsia="en-GB"/>
              </w:rPr>
            </w:pPr>
            <w:r w:rsidRPr="0081626E">
              <w:rPr>
                <w:color w:val="000000"/>
                <w:sz w:val="20"/>
              </w:rPr>
              <w:t>South West Wales</w:t>
            </w:r>
          </w:p>
        </w:tc>
        <w:tc>
          <w:tcPr>
            <w:tcW w:w="1065" w:type="pct"/>
            <w:tcBorders>
              <w:top w:val="nil"/>
              <w:left w:val="nil"/>
              <w:bottom w:val="single" w:sz="8" w:space="0" w:color="auto"/>
              <w:right w:val="single" w:sz="8" w:space="0" w:color="auto"/>
            </w:tcBorders>
            <w:shd w:val="clear" w:color="000000" w:fill="FFFFFF"/>
            <w:vAlign w:val="center"/>
            <w:hideMark/>
          </w:tcPr>
          <w:p w14:paraId="703D05F5" w14:textId="50A415F4" w:rsidR="0081626E" w:rsidRPr="0081626E" w:rsidRDefault="0081626E" w:rsidP="0081626E">
            <w:pPr>
              <w:spacing w:after="0"/>
              <w:jc w:val="center"/>
              <w:rPr>
                <w:rFonts w:eastAsia="Times New Roman"/>
                <w:color w:val="000000"/>
                <w:sz w:val="20"/>
                <w:lang w:eastAsia="en-GB"/>
              </w:rPr>
            </w:pPr>
            <w:r>
              <w:rPr>
                <w:color w:val="000000"/>
                <w:sz w:val="20"/>
              </w:rPr>
              <w:t>1,</w:t>
            </w:r>
            <w:r w:rsidR="00972545">
              <w:rPr>
                <w:color w:val="000000"/>
                <w:sz w:val="20"/>
              </w:rPr>
              <w:t>400</w:t>
            </w:r>
          </w:p>
        </w:tc>
        <w:tc>
          <w:tcPr>
            <w:tcW w:w="1065" w:type="pct"/>
            <w:tcBorders>
              <w:top w:val="nil"/>
              <w:left w:val="nil"/>
              <w:bottom w:val="single" w:sz="8" w:space="0" w:color="auto"/>
              <w:right w:val="single" w:sz="8" w:space="0" w:color="auto"/>
            </w:tcBorders>
            <w:shd w:val="clear" w:color="000000" w:fill="FFFFFF"/>
            <w:vAlign w:val="center"/>
            <w:hideMark/>
          </w:tcPr>
          <w:p w14:paraId="701A7D1D" w14:textId="02819DFC" w:rsidR="0081626E" w:rsidRPr="0081626E" w:rsidRDefault="0081626E" w:rsidP="0081626E">
            <w:pPr>
              <w:spacing w:after="0"/>
              <w:jc w:val="center"/>
              <w:rPr>
                <w:rFonts w:eastAsia="Times New Roman"/>
                <w:color w:val="000000"/>
                <w:sz w:val="20"/>
                <w:lang w:eastAsia="en-GB"/>
              </w:rPr>
            </w:pPr>
            <w:r>
              <w:rPr>
                <w:color w:val="000000"/>
                <w:sz w:val="20"/>
              </w:rPr>
              <w:t>1,</w:t>
            </w:r>
            <w:r w:rsidR="00972545">
              <w:rPr>
                <w:color w:val="000000"/>
                <w:sz w:val="20"/>
              </w:rPr>
              <w:t>200</w:t>
            </w:r>
          </w:p>
        </w:tc>
        <w:tc>
          <w:tcPr>
            <w:tcW w:w="1065" w:type="pct"/>
            <w:tcBorders>
              <w:top w:val="nil"/>
              <w:left w:val="nil"/>
              <w:bottom w:val="single" w:sz="8" w:space="0" w:color="auto"/>
              <w:right w:val="single" w:sz="8" w:space="0" w:color="auto"/>
            </w:tcBorders>
            <w:shd w:val="clear" w:color="000000" w:fill="FFFFFF"/>
            <w:vAlign w:val="center"/>
            <w:hideMark/>
          </w:tcPr>
          <w:p w14:paraId="433EBE24" w14:textId="76253BEC" w:rsidR="0081626E" w:rsidRPr="0081626E" w:rsidRDefault="0081626E" w:rsidP="0081626E">
            <w:pPr>
              <w:spacing w:after="0"/>
              <w:jc w:val="center"/>
              <w:rPr>
                <w:rFonts w:eastAsia="Times New Roman"/>
                <w:color w:val="000000"/>
                <w:sz w:val="20"/>
                <w:lang w:eastAsia="en-GB"/>
              </w:rPr>
            </w:pPr>
            <w:r>
              <w:rPr>
                <w:color w:val="000000"/>
                <w:sz w:val="20"/>
              </w:rPr>
              <w:t>300</w:t>
            </w:r>
          </w:p>
        </w:tc>
        <w:tc>
          <w:tcPr>
            <w:tcW w:w="740" w:type="pct"/>
            <w:tcBorders>
              <w:top w:val="nil"/>
              <w:left w:val="nil"/>
              <w:bottom w:val="single" w:sz="8" w:space="0" w:color="auto"/>
              <w:right w:val="single" w:sz="8" w:space="0" w:color="auto"/>
            </w:tcBorders>
            <w:shd w:val="clear" w:color="000000" w:fill="FFFFFF"/>
            <w:vAlign w:val="center"/>
            <w:hideMark/>
          </w:tcPr>
          <w:p w14:paraId="5911479D" w14:textId="1CC093E5" w:rsidR="0081626E" w:rsidRPr="0081626E" w:rsidRDefault="0081626E" w:rsidP="0081626E">
            <w:pPr>
              <w:spacing w:after="0"/>
              <w:jc w:val="center"/>
              <w:rPr>
                <w:rFonts w:eastAsia="Times New Roman"/>
                <w:color w:val="000000"/>
                <w:sz w:val="20"/>
                <w:lang w:eastAsia="en-GB"/>
              </w:rPr>
            </w:pPr>
            <w:r>
              <w:rPr>
                <w:color w:val="000000"/>
                <w:sz w:val="20"/>
              </w:rPr>
              <w:t>3,000</w:t>
            </w:r>
          </w:p>
        </w:tc>
      </w:tr>
      <w:tr w:rsidR="0081626E" w:rsidRPr="00DC2238" w14:paraId="73D7297F" w14:textId="77777777" w:rsidTr="0081626E">
        <w:trPr>
          <w:trHeight w:val="690"/>
          <w:jc w:val="center"/>
        </w:trPr>
        <w:tc>
          <w:tcPr>
            <w:tcW w:w="1065" w:type="pct"/>
            <w:tcBorders>
              <w:top w:val="nil"/>
              <w:left w:val="single" w:sz="8" w:space="0" w:color="auto"/>
              <w:bottom w:val="single" w:sz="8" w:space="0" w:color="auto"/>
              <w:right w:val="single" w:sz="8" w:space="0" w:color="auto"/>
            </w:tcBorders>
            <w:vAlign w:val="center"/>
          </w:tcPr>
          <w:p w14:paraId="099DF49E" w14:textId="6B5D5A40" w:rsidR="0081626E" w:rsidRPr="0081626E" w:rsidRDefault="0081626E" w:rsidP="0081626E">
            <w:pPr>
              <w:spacing w:after="0"/>
              <w:jc w:val="center"/>
              <w:rPr>
                <w:rFonts w:eastAsia="Times New Roman"/>
                <w:color w:val="000000"/>
                <w:sz w:val="20"/>
                <w:lang w:eastAsia="en-GB"/>
              </w:rPr>
            </w:pPr>
            <w:r w:rsidRPr="0081626E">
              <w:rPr>
                <w:color w:val="000000"/>
                <w:sz w:val="20"/>
              </w:rPr>
              <w:t>Mid Wales</w:t>
            </w:r>
          </w:p>
        </w:tc>
        <w:tc>
          <w:tcPr>
            <w:tcW w:w="1065" w:type="pct"/>
            <w:tcBorders>
              <w:top w:val="nil"/>
              <w:left w:val="nil"/>
              <w:bottom w:val="single" w:sz="8" w:space="0" w:color="auto"/>
              <w:right w:val="single" w:sz="8" w:space="0" w:color="auto"/>
            </w:tcBorders>
            <w:shd w:val="clear" w:color="000000" w:fill="FFFFFF"/>
            <w:vAlign w:val="center"/>
          </w:tcPr>
          <w:p w14:paraId="0BBE16EF" w14:textId="7F679922" w:rsidR="0081626E" w:rsidRPr="0081626E" w:rsidRDefault="0081626E" w:rsidP="0081626E">
            <w:pPr>
              <w:spacing w:after="0"/>
              <w:jc w:val="center"/>
              <w:rPr>
                <w:rFonts w:eastAsia="Times New Roman"/>
                <w:color w:val="000000"/>
                <w:sz w:val="20"/>
                <w:lang w:eastAsia="en-GB"/>
              </w:rPr>
            </w:pPr>
            <w:r w:rsidRPr="0081626E">
              <w:rPr>
                <w:color w:val="000000"/>
                <w:sz w:val="20"/>
              </w:rPr>
              <w:t>1,</w:t>
            </w:r>
            <w:r w:rsidR="00972545">
              <w:rPr>
                <w:color w:val="000000"/>
                <w:sz w:val="20"/>
              </w:rPr>
              <w:t>1</w:t>
            </w:r>
            <w:r>
              <w:rPr>
                <w:color w:val="000000"/>
                <w:sz w:val="20"/>
              </w:rPr>
              <w:t>00</w:t>
            </w:r>
          </w:p>
        </w:tc>
        <w:tc>
          <w:tcPr>
            <w:tcW w:w="1065" w:type="pct"/>
            <w:tcBorders>
              <w:top w:val="nil"/>
              <w:left w:val="nil"/>
              <w:bottom w:val="single" w:sz="8" w:space="0" w:color="auto"/>
              <w:right w:val="single" w:sz="8" w:space="0" w:color="auto"/>
            </w:tcBorders>
            <w:shd w:val="clear" w:color="000000" w:fill="FFFFFF"/>
            <w:vAlign w:val="center"/>
          </w:tcPr>
          <w:p w14:paraId="168297E2" w14:textId="48A2B429" w:rsidR="0081626E" w:rsidRPr="0081626E" w:rsidRDefault="0081626E" w:rsidP="0081626E">
            <w:pPr>
              <w:spacing w:after="0"/>
              <w:jc w:val="center"/>
              <w:rPr>
                <w:rFonts w:eastAsia="Times New Roman"/>
                <w:color w:val="000000"/>
                <w:sz w:val="20"/>
                <w:lang w:eastAsia="en-GB"/>
              </w:rPr>
            </w:pPr>
            <w:r w:rsidRPr="0081626E">
              <w:rPr>
                <w:color w:val="000000"/>
                <w:sz w:val="20"/>
              </w:rPr>
              <w:t>1,</w:t>
            </w:r>
            <w:r w:rsidR="00972545">
              <w:rPr>
                <w:color w:val="000000"/>
                <w:sz w:val="20"/>
              </w:rPr>
              <w:t>1</w:t>
            </w:r>
            <w:r>
              <w:rPr>
                <w:color w:val="000000"/>
                <w:sz w:val="20"/>
              </w:rPr>
              <w:t>00</w:t>
            </w:r>
          </w:p>
        </w:tc>
        <w:tc>
          <w:tcPr>
            <w:tcW w:w="1065" w:type="pct"/>
            <w:tcBorders>
              <w:top w:val="nil"/>
              <w:left w:val="nil"/>
              <w:bottom w:val="single" w:sz="8" w:space="0" w:color="auto"/>
              <w:right w:val="single" w:sz="8" w:space="0" w:color="auto"/>
            </w:tcBorders>
            <w:shd w:val="clear" w:color="000000" w:fill="FFFFFF"/>
            <w:vAlign w:val="center"/>
          </w:tcPr>
          <w:p w14:paraId="2B097066" w14:textId="7FFD8B4D" w:rsidR="0081626E" w:rsidRPr="0081626E" w:rsidRDefault="0081626E" w:rsidP="0081626E">
            <w:pPr>
              <w:spacing w:after="0"/>
              <w:jc w:val="center"/>
              <w:rPr>
                <w:rFonts w:eastAsia="Times New Roman"/>
                <w:color w:val="000000"/>
                <w:sz w:val="20"/>
                <w:lang w:eastAsia="en-GB"/>
              </w:rPr>
            </w:pPr>
            <w:r w:rsidRPr="0081626E">
              <w:rPr>
                <w:color w:val="000000"/>
                <w:sz w:val="20"/>
              </w:rPr>
              <w:t>2</w:t>
            </w:r>
            <w:r>
              <w:rPr>
                <w:color w:val="000000"/>
                <w:sz w:val="20"/>
              </w:rPr>
              <w:t>00</w:t>
            </w:r>
          </w:p>
        </w:tc>
        <w:tc>
          <w:tcPr>
            <w:tcW w:w="740" w:type="pct"/>
            <w:tcBorders>
              <w:top w:val="nil"/>
              <w:left w:val="nil"/>
              <w:bottom w:val="single" w:sz="8" w:space="0" w:color="auto"/>
              <w:right w:val="single" w:sz="8" w:space="0" w:color="auto"/>
            </w:tcBorders>
            <w:shd w:val="clear" w:color="000000" w:fill="FFFFFF"/>
            <w:vAlign w:val="center"/>
          </w:tcPr>
          <w:p w14:paraId="2429D4D8" w14:textId="43DFED31" w:rsidR="0081626E" w:rsidRPr="0081626E" w:rsidRDefault="0081626E" w:rsidP="0081626E">
            <w:pPr>
              <w:spacing w:after="0"/>
              <w:jc w:val="center"/>
              <w:rPr>
                <w:rFonts w:eastAsia="Times New Roman"/>
                <w:color w:val="000000"/>
                <w:sz w:val="20"/>
                <w:lang w:eastAsia="en-GB"/>
              </w:rPr>
            </w:pPr>
            <w:r w:rsidRPr="0081626E">
              <w:rPr>
                <w:color w:val="000000"/>
                <w:sz w:val="20"/>
              </w:rPr>
              <w:t>2,</w:t>
            </w:r>
            <w:r w:rsidR="00972545">
              <w:rPr>
                <w:color w:val="000000"/>
                <w:sz w:val="20"/>
              </w:rPr>
              <w:t>4</w:t>
            </w:r>
            <w:r>
              <w:rPr>
                <w:color w:val="000000"/>
                <w:sz w:val="20"/>
              </w:rPr>
              <w:t>00</w:t>
            </w:r>
          </w:p>
        </w:tc>
      </w:tr>
      <w:tr w:rsidR="0081626E" w:rsidRPr="00DC2238" w14:paraId="4138D9F8" w14:textId="77777777" w:rsidTr="0081626E">
        <w:trPr>
          <w:trHeight w:val="690"/>
          <w:jc w:val="center"/>
        </w:trPr>
        <w:tc>
          <w:tcPr>
            <w:tcW w:w="1065" w:type="pct"/>
            <w:tcBorders>
              <w:top w:val="nil"/>
              <w:left w:val="single" w:sz="8" w:space="0" w:color="auto"/>
              <w:bottom w:val="single" w:sz="8" w:space="0" w:color="auto"/>
              <w:right w:val="single" w:sz="8" w:space="0" w:color="auto"/>
            </w:tcBorders>
            <w:vAlign w:val="center"/>
          </w:tcPr>
          <w:p w14:paraId="7F2E6C6E" w14:textId="05D09027" w:rsidR="0081626E" w:rsidRPr="0081626E" w:rsidRDefault="0081626E" w:rsidP="0081626E">
            <w:pPr>
              <w:spacing w:after="0"/>
              <w:jc w:val="center"/>
              <w:rPr>
                <w:rFonts w:eastAsia="Times New Roman"/>
                <w:color w:val="000000"/>
                <w:sz w:val="20"/>
                <w:lang w:eastAsia="en-GB"/>
              </w:rPr>
            </w:pPr>
            <w:r w:rsidRPr="0081626E">
              <w:rPr>
                <w:color w:val="000000"/>
                <w:sz w:val="20"/>
              </w:rPr>
              <w:t>North Wales</w:t>
            </w:r>
          </w:p>
        </w:tc>
        <w:tc>
          <w:tcPr>
            <w:tcW w:w="1065" w:type="pct"/>
            <w:tcBorders>
              <w:top w:val="nil"/>
              <w:left w:val="nil"/>
              <w:bottom w:val="single" w:sz="8" w:space="0" w:color="auto"/>
              <w:right w:val="single" w:sz="8" w:space="0" w:color="auto"/>
            </w:tcBorders>
            <w:shd w:val="clear" w:color="000000" w:fill="FFFFFF"/>
            <w:vAlign w:val="center"/>
          </w:tcPr>
          <w:p w14:paraId="3302A1FC" w14:textId="6CA0E0EB" w:rsidR="0081626E" w:rsidRPr="0081626E" w:rsidRDefault="0081626E" w:rsidP="0081626E">
            <w:pPr>
              <w:spacing w:after="0"/>
              <w:jc w:val="center"/>
              <w:rPr>
                <w:rFonts w:eastAsia="Times New Roman"/>
                <w:color w:val="000000"/>
                <w:sz w:val="20"/>
                <w:lang w:eastAsia="en-GB"/>
              </w:rPr>
            </w:pPr>
            <w:r>
              <w:rPr>
                <w:color w:val="000000"/>
                <w:sz w:val="20"/>
              </w:rPr>
              <w:t>3,000</w:t>
            </w:r>
          </w:p>
        </w:tc>
        <w:tc>
          <w:tcPr>
            <w:tcW w:w="1065" w:type="pct"/>
            <w:tcBorders>
              <w:top w:val="nil"/>
              <w:left w:val="nil"/>
              <w:bottom w:val="single" w:sz="8" w:space="0" w:color="auto"/>
              <w:right w:val="single" w:sz="8" w:space="0" w:color="auto"/>
            </w:tcBorders>
            <w:shd w:val="clear" w:color="000000" w:fill="FFFFFF"/>
            <w:vAlign w:val="center"/>
          </w:tcPr>
          <w:p w14:paraId="070D1B4A" w14:textId="37A29E3C" w:rsidR="0081626E" w:rsidRPr="0081626E" w:rsidRDefault="0081626E" w:rsidP="0081626E">
            <w:pPr>
              <w:spacing w:after="0"/>
              <w:jc w:val="center"/>
              <w:rPr>
                <w:rFonts w:eastAsia="Times New Roman"/>
                <w:color w:val="000000"/>
                <w:sz w:val="20"/>
                <w:lang w:eastAsia="en-GB"/>
              </w:rPr>
            </w:pPr>
            <w:r>
              <w:rPr>
                <w:color w:val="000000"/>
                <w:sz w:val="20"/>
              </w:rPr>
              <w:t>2,</w:t>
            </w:r>
            <w:r w:rsidR="00972545">
              <w:rPr>
                <w:color w:val="000000"/>
                <w:sz w:val="20"/>
              </w:rPr>
              <w:t>2</w:t>
            </w:r>
            <w:r>
              <w:rPr>
                <w:color w:val="000000"/>
                <w:sz w:val="20"/>
              </w:rPr>
              <w:t>00</w:t>
            </w:r>
          </w:p>
        </w:tc>
        <w:tc>
          <w:tcPr>
            <w:tcW w:w="1065" w:type="pct"/>
            <w:tcBorders>
              <w:top w:val="nil"/>
              <w:left w:val="nil"/>
              <w:bottom w:val="single" w:sz="8" w:space="0" w:color="auto"/>
              <w:right w:val="single" w:sz="8" w:space="0" w:color="auto"/>
            </w:tcBorders>
            <w:shd w:val="clear" w:color="000000" w:fill="FFFFFF"/>
            <w:vAlign w:val="center"/>
          </w:tcPr>
          <w:p w14:paraId="1CDC9816" w14:textId="5BBC4729" w:rsidR="0081626E" w:rsidRPr="0081626E" w:rsidRDefault="0081626E" w:rsidP="0081626E">
            <w:pPr>
              <w:spacing w:after="0"/>
              <w:jc w:val="center"/>
              <w:rPr>
                <w:rFonts w:eastAsia="Times New Roman"/>
                <w:color w:val="000000"/>
                <w:sz w:val="20"/>
                <w:lang w:eastAsia="en-GB"/>
              </w:rPr>
            </w:pPr>
            <w:r>
              <w:rPr>
                <w:color w:val="000000"/>
                <w:sz w:val="20"/>
              </w:rPr>
              <w:t>1,000</w:t>
            </w:r>
          </w:p>
        </w:tc>
        <w:tc>
          <w:tcPr>
            <w:tcW w:w="740" w:type="pct"/>
            <w:tcBorders>
              <w:top w:val="nil"/>
              <w:left w:val="nil"/>
              <w:bottom w:val="single" w:sz="8" w:space="0" w:color="auto"/>
              <w:right w:val="single" w:sz="8" w:space="0" w:color="auto"/>
            </w:tcBorders>
            <w:shd w:val="clear" w:color="000000" w:fill="FFFFFF"/>
            <w:vAlign w:val="center"/>
          </w:tcPr>
          <w:p w14:paraId="55C3524B" w14:textId="4D16619F" w:rsidR="0081626E" w:rsidRPr="0081626E" w:rsidRDefault="0081626E" w:rsidP="0081626E">
            <w:pPr>
              <w:spacing w:after="0"/>
              <w:jc w:val="center"/>
              <w:rPr>
                <w:rFonts w:eastAsia="Times New Roman"/>
                <w:color w:val="000000"/>
                <w:sz w:val="20"/>
                <w:lang w:eastAsia="en-GB"/>
              </w:rPr>
            </w:pPr>
            <w:r w:rsidRPr="0081626E">
              <w:rPr>
                <w:color w:val="000000"/>
                <w:sz w:val="20"/>
              </w:rPr>
              <w:t>6,</w:t>
            </w:r>
            <w:r w:rsidR="00972545">
              <w:rPr>
                <w:color w:val="000000"/>
                <w:sz w:val="20"/>
              </w:rPr>
              <w:t>1</w:t>
            </w:r>
            <w:r>
              <w:rPr>
                <w:color w:val="000000"/>
                <w:sz w:val="20"/>
              </w:rPr>
              <w:t>00</w:t>
            </w:r>
          </w:p>
        </w:tc>
      </w:tr>
      <w:tr w:rsidR="00DC2238" w:rsidRPr="00DC2238" w14:paraId="2353AAEB" w14:textId="77777777" w:rsidTr="0081626E">
        <w:trPr>
          <w:trHeight w:val="690"/>
          <w:jc w:val="center"/>
        </w:trPr>
        <w:tc>
          <w:tcPr>
            <w:tcW w:w="1065" w:type="pct"/>
            <w:tcBorders>
              <w:top w:val="nil"/>
              <w:left w:val="single" w:sz="8" w:space="0" w:color="auto"/>
              <w:bottom w:val="single" w:sz="8" w:space="0" w:color="auto"/>
              <w:right w:val="single" w:sz="8" w:space="0" w:color="auto"/>
            </w:tcBorders>
            <w:shd w:val="clear" w:color="auto" w:fill="008C9B" w:themeFill="text2"/>
            <w:vAlign w:val="center"/>
            <w:hideMark/>
          </w:tcPr>
          <w:p w14:paraId="08810C74" w14:textId="0F586FC0" w:rsidR="00DC2238" w:rsidRPr="00581208" w:rsidRDefault="00581208" w:rsidP="00DC2238">
            <w:pPr>
              <w:spacing w:after="0"/>
              <w:jc w:val="center"/>
              <w:rPr>
                <w:rFonts w:eastAsia="Times New Roman"/>
                <w:b/>
                <w:bCs/>
                <w:color w:val="FFFFFF" w:themeColor="background1"/>
                <w:sz w:val="20"/>
                <w:lang w:eastAsia="en-GB"/>
              </w:rPr>
            </w:pPr>
            <w:r w:rsidRPr="00581208">
              <w:rPr>
                <w:rFonts w:eastAsia="Times New Roman"/>
                <w:b/>
                <w:bCs/>
                <w:color w:val="FFFFFF" w:themeColor="background1"/>
                <w:sz w:val="20"/>
                <w:lang w:eastAsia="en-GB"/>
              </w:rPr>
              <w:t>Wales</w:t>
            </w:r>
          </w:p>
        </w:tc>
        <w:tc>
          <w:tcPr>
            <w:tcW w:w="1065" w:type="pct"/>
            <w:tcBorders>
              <w:top w:val="nil"/>
              <w:left w:val="nil"/>
              <w:bottom w:val="single" w:sz="8" w:space="0" w:color="auto"/>
              <w:right w:val="single" w:sz="8" w:space="0" w:color="auto"/>
            </w:tcBorders>
            <w:shd w:val="clear" w:color="auto" w:fill="008C9B" w:themeFill="text2"/>
            <w:vAlign w:val="center"/>
            <w:hideMark/>
          </w:tcPr>
          <w:p w14:paraId="59C7737D" w14:textId="532B0064" w:rsidR="00DC2238" w:rsidRPr="00581208" w:rsidRDefault="0081626E" w:rsidP="00DC2238">
            <w:pPr>
              <w:spacing w:after="0"/>
              <w:jc w:val="center"/>
              <w:rPr>
                <w:rFonts w:eastAsia="Times New Roman"/>
                <w:b/>
                <w:bCs/>
                <w:color w:val="FFFFFF" w:themeColor="background1"/>
                <w:sz w:val="20"/>
                <w:lang w:eastAsia="en-GB"/>
              </w:rPr>
            </w:pPr>
            <w:r>
              <w:rPr>
                <w:rFonts w:eastAsia="Times New Roman"/>
                <w:b/>
                <w:bCs/>
                <w:color w:val="FFFFFF" w:themeColor="background1"/>
                <w:sz w:val="20"/>
                <w:lang w:eastAsia="en-GB"/>
              </w:rPr>
              <w:t>1</w:t>
            </w:r>
            <w:r w:rsidR="00972545">
              <w:rPr>
                <w:rFonts w:eastAsia="Times New Roman"/>
                <w:b/>
                <w:bCs/>
                <w:color w:val="FFFFFF" w:themeColor="background1"/>
                <w:sz w:val="20"/>
                <w:lang w:eastAsia="en-GB"/>
              </w:rPr>
              <w:t>1</w:t>
            </w:r>
            <w:r>
              <w:rPr>
                <w:rFonts w:eastAsia="Times New Roman"/>
                <w:b/>
                <w:bCs/>
                <w:color w:val="FFFFFF" w:themeColor="background1"/>
                <w:sz w:val="20"/>
                <w:lang w:eastAsia="en-GB"/>
              </w:rPr>
              <w:t>,</w:t>
            </w:r>
            <w:r w:rsidR="00972545">
              <w:rPr>
                <w:rFonts w:eastAsia="Times New Roman"/>
                <w:b/>
                <w:bCs/>
                <w:color w:val="FFFFFF" w:themeColor="background1"/>
                <w:sz w:val="20"/>
                <w:lang w:eastAsia="en-GB"/>
              </w:rPr>
              <w:t>9</w:t>
            </w:r>
            <w:r>
              <w:rPr>
                <w:rFonts w:eastAsia="Times New Roman"/>
                <w:b/>
                <w:bCs/>
                <w:color w:val="FFFFFF" w:themeColor="background1"/>
                <w:sz w:val="20"/>
                <w:lang w:eastAsia="en-GB"/>
              </w:rPr>
              <w:t>00</w:t>
            </w:r>
          </w:p>
        </w:tc>
        <w:tc>
          <w:tcPr>
            <w:tcW w:w="1065" w:type="pct"/>
            <w:tcBorders>
              <w:top w:val="nil"/>
              <w:left w:val="nil"/>
              <w:bottom w:val="single" w:sz="8" w:space="0" w:color="auto"/>
              <w:right w:val="single" w:sz="8" w:space="0" w:color="auto"/>
            </w:tcBorders>
            <w:shd w:val="clear" w:color="auto" w:fill="008C9B" w:themeFill="text2"/>
            <w:vAlign w:val="center"/>
            <w:hideMark/>
          </w:tcPr>
          <w:p w14:paraId="53A668D6" w14:textId="4CB5DAC0" w:rsidR="00DC2238" w:rsidRPr="00581208" w:rsidRDefault="00972545" w:rsidP="00DC2238">
            <w:pPr>
              <w:spacing w:after="0"/>
              <w:jc w:val="center"/>
              <w:rPr>
                <w:rFonts w:eastAsia="Times New Roman"/>
                <w:b/>
                <w:bCs/>
                <w:color w:val="FFFFFF" w:themeColor="background1"/>
                <w:sz w:val="20"/>
                <w:lang w:eastAsia="en-GB"/>
              </w:rPr>
            </w:pPr>
            <w:r>
              <w:rPr>
                <w:rFonts w:eastAsia="Times New Roman"/>
                <w:b/>
                <w:bCs/>
                <w:color w:val="FFFFFF" w:themeColor="background1"/>
                <w:sz w:val="20"/>
                <w:lang w:eastAsia="en-GB"/>
              </w:rPr>
              <w:t>9</w:t>
            </w:r>
            <w:r w:rsidR="0081626E">
              <w:rPr>
                <w:rFonts w:eastAsia="Times New Roman"/>
                <w:b/>
                <w:bCs/>
                <w:color w:val="FFFFFF" w:themeColor="background1"/>
                <w:sz w:val="20"/>
                <w:lang w:eastAsia="en-GB"/>
              </w:rPr>
              <w:t>,</w:t>
            </w:r>
            <w:r>
              <w:rPr>
                <w:rFonts w:eastAsia="Times New Roman"/>
                <w:b/>
                <w:bCs/>
                <w:color w:val="FFFFFF" w:themeColor="background1"/>
                <w:sz w:val="20"/>
                <w:lang w:eastAsia="en-GB"/>
              </w:rPr>
              <w:t>9</w:t>
            </w:r>
            <w:r w:rsidR="0081626E">
              <w:rPr>
                <w:rFonts w:eastAsia="Times New Roman"/>
                <w:b/>
                <w:bCs/>
                <w:color w:val="FFFFFF" w:themeColor="background1"/>
                <w:sz w:val="20"/>
                <w:lang w:eastAsia="en-GB"/>
              </w:rPr>
              <w:t>00</w:t>
            </w:r>
          </w:p>
        </w:tc>
        <w:tc>
          <w:tcPr>
            <w:tcW w:w="1065" w:type="pct"/>
            <w:tcBorders>
              <w:top w:val="nil"/>
              <w:left w:val="nil"/>
              <w:bottom w:val="single" w:sz="8" w:space="0" w:color="auto"/>
              <w:right w:val="single" w:sz="8" w:space="0" w:color="auto"/>
            </w:tcBorders>
            <w:shd w:val="clear" w:color="auto" w:fill="008C9B" w:themeFill="text2"/>
            <w:vAlign w:val="center"/>
            <w:hideMark/>
          </w:tcPr>
          <w:p w14:paraId="3210BF32" w14:textId="4AE0F0A8" w:rsidR="00DC2238" w:rsidRPr="00581208" w:rsidRDefault="0081626E" w:rsidP="00DC2238">
            <w:pPr>
              <w:spacing w:after="0"/>
              <w:jc w:val="center"/>
              <w:rPr>
                <w:rFonts w:eastAsia="Times New Roman"/>
                <w:b/>
                <w:bCs/>
                <w:color w:val="FFFFFF" w:themeColor="background1"/>
                <w:sz w:val="20"/>
                <w:lang w:eastAsia="en-GB"/>
              </w:rPr>
            </w:pPr>
            <w:r>
              <w:rPr>
                <w:rFonts w:eastAsia="Times New Roman"/>
                <w:b/>
                <w:bCs/>
                <w:color w:val="FFFFFF" w:themeColor="background1"/>
                <w:sz w:val="20"/>
                <w:lang w:eastAsia="en-GB"/>
              </w:rPr>
              <w:t>3,</w:t>
            </w:r>
            <w:r w:rsidR="00972545">
              <w:rPr>
                <w:rFonts w:eastAsia="Times New Roman"/>
                <w:b/>
                <w:bCs/>
                <w:color w:val="FFFFFF" w:themeColor="background1"/>
                <w:sz w:val="20"/>
                <w:lang w:eastAsia="en-GB"/>
              </w:rPr>
              <w:t>1</w:t>
            </w:r>
            <w:r>
              <w:rPr>
                <w:rFonts w:eastAsia="Times New Roman"/>
                <w:b/>
                <w:bCs/>
                <w:color w:val="FFFFFF" w:themeColor="background1"/>
                <w:sz w:val="20"/>
                <w:lang w:eastAsia="en-GB"/>
              </w:rPr>
              <w:t>00</w:t>
            </w:r>
          </w:p>
        </w:tc>
        <w:tc>
          <w:tcPr>
            <w:tcW w:w="740" w:type="pct"/>
            <w:tcBorders>
              <w:top w:val="nil"/>
              <w:left w:val="nil"/>
              <w:bottom w:val="single" w:sz="8" w:space="0" w:color="auto"/>
              <w:right w:val="single" w:sz="8" w:space="0" w:color="auto"/>
            </w:tcBorders>
            <w:shd w:val="clear" w:color="auto" w:fill="008C9B" w:themeFill="text2"/>
            <w:vAlign w:val="center"/>
            <w:hideMark/>
          </w:tcPr>
          <w:p w14:paraId="4783B8C1" w14:textId="5FD8E8EE" w:rsidR="00DC2238" w:rsidRPr="00581208" w:rsidRDefault="0081626E" w:rsidP="00DC2238">
            <w:pPr>
              <w:spacing w:after="0"/>
              <w:jc w:val="center"/>
              <w:rPr>
                <w:rFonts w:eastAsia="Times New Roman"/>
                <w:b/>
                <w:bCs/>
                <w:color w:val="FFFFFF" w:themeColor="background1"/>
                <w:sz w:val="20"/>
                <w:lang w:eastAsia="en-GB"/>
              </w:rPr>
            </w:pPr>
            <w:r>
              <w:rPr>
                <w:rFonts w:eastAsia="Times New Roman"/>
                <w:b/>
                <w:bCs/>
                <w:color w:val="FFFFFF" w:themeColor="background1"/>
                <w:sz w:val="20"/>
                <w:lang w:eastAsia="en-GB"/>
              </w:rPr>
              <w:t>2</w:t>
            </w:r>
            <w:r w:rsidR="00972545">
              <w:rPr>
                <w:rFonts w:eastAsia="Times New Roman"/>
                <w:b/>
                <w:bCs/>
                <w:color w:val="FFFFFF" w:themeColor="background1"/>
                <w:sz w:val="20"/>
                <w:lang w:eastAsia="en-GB"/>
              </w:rPr>
              <w:t>4</w:t>
            </w:r>
            <w:r>
              <w:rPr>
                <w:rFonts w:eastAsia="Times New Roman"/>
                <w:b/>
                <w:bCs/>
                <w:color w:val="FFFFFF" w:themeColor="background1"/>
                <w:sz w:val="20"/>
                <w:lang w:eastAsia="en-GB"/>
              </w:rPr>
              <w:t>,</w:t>
            </w:r>
            <w:r w:rsidR="00972545">
              <w:rPr>
                <w:rFonts w:eastAsia="Times New Roman"/>
                <w:b/>
                <w:bCs/>
                <w:color w:val="FFFFFF" w:themeColor="background1"/>
                <w:sz w:val="20"/>
                <w:lang w:eastAsia="en-GB"/>
              </w:rPr>
              <w:t>9</w:t>
            </w:r>
            <w:r>
              <w:rPr>
                <w:rFonts w:eastAsia="Times New Roman"/>
                <w:b/>
                <w:bCs/>
                <w:color w:val="FFFFFF" w:themeColor="background1"/>
                <w:sz w:val="20"/>
                <w:lang w:eastAsia="en-GB"/>
              </w:rPr>
              <w:t>00</w:t>
            </w:r>
          </w:p>
        </w:tc>
      </w:tr>
    </w:tbl>
    <w:p w14:paraId="0A526406" w14:textId="0CE3FAF3" w:rsidR="00B976CE" w:rsidRDefault="00B976CE" w:rsidP="00B976CE">
      <w:pPr>
        <w:spacing w:after="120" w:line="278" w:lineRule="auto"/>
        <w:jc w:val="right"/>
      </w:pPr>
      <w:r>
        <w:rPr>
          <w:color w:val="6D6E71" w:themeColor="accent3"/>
          <w:sz w:val="18"/>
          <w:szCs w:val="16"/>
        </w:rPr>
        <w:t>Source: Annual Population Survey, Cebr analysis</w:t>
      </w:r>
      <w:r w:rsidRPr="00015203">
        <w:t xml:space="preserve"> </w:t>
      </w:r>
    </w:p>
    <w:p w14:paraId="15EA4F22" w14:textId="3AAEB118" w:rsidR="00DC2238" w:rsidRPr="00A71219" w:rsidRDefault="00130BC4" w:rsidP="00BA1EB8">
      <w:pPr>
        <w:spacing w:after="120" w:line="278" w:lineRule="auto"/>
        <w:jc w:val="both"/>
      </w:pPr>
      <w:r w:rsidRPr="00015203">
        <w:t xml:space="preserve">An estimated </w:t>
      </w:r>
      <w:r w:rsidR="0081626E">
        <w:t>1</w:t>
      </w:r>
      <w:r w:rsidR="00972545">
        <w:t>1</w:t>
      </w:r>
      <w:r w:rsidR="0081626E">
        <w:t>,</w:t>
      </w:r>
      <w:r w:rsidR="00972545">
        <w:t>9</w:t>
      </w:r>
      <w:r w:rsidR="0081626E">
        <w:t>00</w:t>
      </w:r>
      <w:r w:rsidRPr="00015203">
        <w:t xml:space="preserve"> workers in Wales are currently employed in professions that are directly involved in the physical installation of retrofit measures</w:t>
      </w:r>
      <w:r w:rsidR="00DC2238">
        <w:t xml:space="preserve">, with approximately </w:t>
      </w:r>
      <w:r w:rsidR="008A43AC">
        <w:t>over half</w:t>
      </w:r>
      <w:r w:rsidR="00DC2238">
        <w:t xml:space="preserve"> of these based in the </w:t>
      </w:r>
      <w:r w:rsidR="008A43AC">
        <w:t>most populous region of South East Wales</w:t>
      </w:r>
      <w:r w:rsidRPr="00015203">
        <w:t xml:space="preserve">. This combines with the additional support </w:t>
      </w:r>
      <w:r w:rsidR="00A71219">
        <w:t>(</w:t>
      </w:r>
      <w:r w:rsidR="00972545">
        <w:t>9</w:t>
      </w:r>
      <w:r w:rsidR="0081626E">
        <w:t>,</w:t>
      </w:r>
      <w:r w:rsidR="00972545">
        <w:t>9</w:t>
      </w:r>
      <w:r w:rsidR="0081626E">
        <w:t>00</w:t>
      </w:r>
      <w:r w:rsidR="00A71219">
        <w:t xml:space="preserve">) </w:t>
      </w:r>
      <w:r w:rsidRPr="00015203">
        <w:t>and supervisory</w:t>
      </w:r>
      <w:r w:rsidR="00A71219">
        <w:t xml:space="preserve"> (3,</w:t>
      </w:r>
      <w:r w:rsidR="00972545">
        <w:t>1</w:t>
      </w:r>
      <w:r w:rsidR="0081626E">
        <w:t>00</w:t>
      </w:r>
      <w:r w:rsidR="00A71219">
        <w:t>)</w:t>
      </w:r>
      <w:r w:rsidRPr="00015203">
        <w:t xml:space="preserve"> workforce to give a total estimate of </w:t>
      </w:r>
      <w:r w:rsidR="0081626E">
        <w:t>2</w:t>
      </w:r>
      <w:r w:rsidR="00972545">
        <w:t>4</w:t>
      </w:r>
      <w:r w:rsidR="0081626E">
        <w:t>,</w:t>
      </w:r>
      <w:r w:rsidR="00972545">
        <w:t>9</w:t>
      </w:r>
      <w:r w:rsidR="0081626E">
        <w:t>00</w:t>
      </w:r>
      <w:r w:rsidRPr="00015203">
        <w:t xml:space="preserve"> retrofit workers in Wales. </w:t>
      </w:r>
      <w:r w:rsidR="0081626E">
        <w:t>O</w:t>
      </w:r>
      <w:r w:rsidRPr="00015203">
        <w:t xml:space="preserve">f the estimated </w:t>
      </w:r>
      <w:r w:rsidR="00A71219">
        <w:t>1.</w:t>
      </w:r>
      <w:r w:rsidR="0081626E">
        <w:t>5</w:t>
      </w:r>
      <w:r w:rsidR="00A71219">
        <w:t xml:space="preserve"> million</w:t>
      </w:r>
      <w:r w:rsidRPr="00015203">
        <w:t xml:space="preserve"> workers employed in Wales</w:t>
      </w:r>
      <w:r w:rsidR="00622102" w:rsidRPr="00015203">
        <w:t xml:space="preserve"> </w:t>
      </w:r>
      <w:r w:rsidR="00A71219">
        <w:t>in the period spanning</w:t>
      </w:r>
      <w:r w:rsidR="00A71219" w:rsidRPr="00015203">
        <w:t xml:space="preserve"> </w:t>
      </w:r>
      <w:r w:rsidR="00622102" w:rsidRPr="00015203">
        <w:t>July 2024 and June 2025</w:t>
      </w:r>
      <w:r w:rsidRPr="00015203">
        <w:t xml:space="preserve">, </w:t>
      </w:r>
      <w:r w:rsidR="00A71219">
        <w:t>approximately 2%</w:t>
      </w:r>
      <w:r w:rsidR="00011735" w:rsidRPr="00015203">
        <w:t xml:space="preserve"> are estimated to </w:t>
      </w:r>
      <w:r w:rsidR="00622102" w:rsidRPr="00015203">
        <w:t xml:space="preserve">have been </w:t>
      </w:r>
      <w:r w:rsidR="00011735" w:rsidRPr="00015203">
        <w:t>involved in home retrofitting, either through direct installation, ancillary support roles, or supervisory roles</w:t>
      </w:r>
      <w:r w:rsidR="00DC2238">
        <w:t>.</w:t>
      </w:r>
    </w:p>
    <w:p w14:paraId="1B8AE9E0" w14:textId="0E637A52" w:rsidR="00386BDF" w:rsidRDefault="00B26A0B" w:rsidP="0081626E">
      <w:pPr>
        <w:spacing w:after="120" w:line="278" w:lineRule="auto"/>
        <w:jc w:val="both"/>
      </w:pPr>
      <w:r w:rsidRPr="00015203">
        <w:t xml:space="preserve">Workforce estimates for </w:t>
      </w:r>
      <w:r w:rsidRPr="00797B62">
        <w:t>adjacent</w:t>
      </w:r>
      <w:r w:rsidRPr="00015203">
        <w:t xml:space="preserve"> roles, consisting of those SOCs that have relevant transferrable skills, </w:t>
      </w:r>
      <w:r w:rsidR="00A71219">
        <w:t>either those in</w:t>
      </w:r>
      <w:r w:rsidRPr="00015203">
        <w:t xml:space="preserve"> core occupations </w:t>
      </w:r>
      <w:r w:rsidR="00A71219">
        <w:t>but employed in</w:t>
      </w:r>
      <w:r w:rsidRPr="00015203">
        <w:t xml:space="preserve"> </w:t>
      </w:r>
      <w:r w:rsidRPr="007157D0">
        <w:t>industries outside of home retrofit</w:t>
      </w:r>
      <w:r w:rsidR="0090110B" w:rsidRPr="007157D0">
        <w:t>,</w:t>
      </w:r>
      <w:r w:rsidR="00A71219" w:rsidRPr="007157D0">
        <w:t xml:space="preserve"> or those in entirely non-retrofit occupations</w:t>
      </w:r>
      <w:r w:rsidR="0090110B" w:rsidRPr="007157D0">
        <w:t xml:space="preserve"> whose existing technical skillsets make them realistically deployable into retrofit work</w:t>
      </w:r>
      <w:r w:rsidRPr="007157D0">
        <w:t xml:space="preserve">, are presented in the table below. </w:t>
      </w:r>
      <w:r w:rsidR="0057561D" w:rsidRPr="007157D0">
        <w:t>T</w:t>
      </w:r>
      <w:r w:rsidR="00C357B6" w:rsidRPr="007157D0">
        <w:t>he adjacent workforce estimates consist of all core SOCs outside of SIC 43, as well as the additional adjacent SOCs identified in Section 1.1, which are totalled across all SICs. The estimation process is then the same as for the core estimates, with apportionment techniques used to address suppression from small sample sizes and to split the estimates across regions.</w:t>
      </w:r>
      <w:r w:rsidR="00C357B6">
        <w:t xml:space="preserve"> </w:t>
      </w:r>
    </w:p>
    <w:p w14:paraId="6EB734E9" w14:textId="77777777" w:rsidR="0081626E" w:rsidRDefault="0081626E" w:rsidP="0081626E">
      <w:pPr>
        <w:spacing w:after="120" w:line="278" w:lineRule="auto"/>
        <w:jc w:val="both"/>
        <w:rPr>
          <w:color w:val="6D6E71" w:themeColor="accent3"/>
          <w:sz w:val="18"/>
          <w:szCs w:val="16"/>
        </w:rPr>
      </w:pPr>
    </w:p>
    <w:p w14:paraId="61966161" w14:textId="1302535C" w:rsidR="00B26A0B" w:rsidRDefault="0081626E" w:rsidP="0081626E">
      <w:pPr>
        <w:pStyle w:val="Caption"/>
      </w:pPr>
      <w:r w:rsidRPr="0081626E">
        <w:rPr>
          <w:color w:val="6D6E71" w:themeColor="accent3"/>
          <w:sz w:val="18"/>
          <w:szCs w:val="14"/>
        </w:rPr>
        <w:lastRenderedPageBreak/>
        <w:t xml:space="preserve">Table </w:t>
      </w:r>
      <w:r w:rsidRPr="0081626E">
        <w:rPr>
          <w:color w:val="6D6E71" w:themeColor="accent3"/>
          <w:sz w:val="18"/>
          <w:szCs w:val="14"/>
        </w:rPr>
        <w:fldChar w:fldCharType="begin"/>
      </w:r>
      <w:r w:rsidRPr="0081626E">
        <w:rPr>
          <w:color w:val="6D6E71" w:themeColor="accent3"/>
          <w:sz w:val="18"/>
          <w:szCs w:val="14"/>
        </w:rPr>
        <w:instrText xml:space="preserve"> SEQ Table \* ARABIC </w:instrText>
      </w:r>
      <w:r w:rsidRPr="0081626E">
        <w:rPr>
          <w:color w:val="6D6E71" w:themeColor="accent3"/>
          <w:sz w:val="18"/>
          <w:szCs w:val="14"/>
        </w:rPr>
        <w:fldChar w:fldCharType="separate"/>
      </w:r>
      <w:r w:rsidR="004775B5">
        <w:rPr>
          <w:noProof/>
          <w:color w:val="6D6E71" w:themeColor="accent3"/>
          <w:sz w:val="18"/>
          <w:szCs w:val="14"/>
        </w:rPr>
        <w:t>4</w:t>
      </w:r>
      <w:r w:rsidRPr="0081626E">
        <w:rPr>
          <w:color w:val="6D6E71" w:themeColor="accent3"/>
          <w:sz w:val="18"/>
          <w:szCs w:val="14"/>
        </w:rPr>
        <w:fldChar w:fldCharType="end"/>
      </w:r>
      <w:r w:rsidRPr="0081626E">
        <w:rPr>
          <w:color w:val="6D6E71" w:themeColor="accent3"/>
          <w:sz w:val="18"/>
          <w:szCs w:val="14"/>
        </w:rPr>
        <w:t>:</w:t>
      </w:r>
      <w:r>
        <w:t xml:space="preserve"> </w:t>
      </w:r>
      <w:r w:rsidR="00B26A0B" w:rsidRPr="00015203">
        <w:rPr>
          <w:color w:val="6D6E71" w:themeColor="accent3"/>
          <w:sz w:val="18"/>
        </w:rPr>
        <w:t xml:space="preserve">Retrofit-adjacent workforce capacity estimates in Wales by </w:t>
      </w:r>
      <w:r w:rsidR="00A71219">
        <w:rPr>
          <w:color w:val="6D6E71" w:themeColor="accent3"/>
          <w:sz w:val="18"/>
        </w:rPr>
        <w:t>function subcategory</w:t>
      </w:r>
      <w:r w:rsidR="00DC2238">
        <w:rPr>
          <w:color w:val="6D6E71" w:themeColor="accent3"/>
          <w:sz w:val="18"/>
        </w:rPr>
        <w:t xml:space="preserve"> and region</w:t>
      </w:r>
      <w:r>
        <w:rPr>
          <w:color w:val="6D6E71" w:themeColor="accent3"/>
          <w:sz w:val="18"/>
        </w:rPr>
        <w:t xml:space="preserve"> (rounded to nearest 100s – totals may differ due to rounding)</w:t>
      </w:r>
    </w:p>
    <w:tbl>
      <w:tblPr>
        <w:tblW w:w="5000" w:type="pct"/>
        <w:jc w:val="center"/>
        <w:tblLook w:val="04A0" w:firstRow="1" w:lastRow="0" w:firstColumn="1" w:lastColumn="0" w:noHBand="0" w:noVBand="1"/>
        <w:tblCaption w:val="Table 4: Retrofit-adjacent workforce capacity estimates in Wales by function subcategory and region (rounded to nearest 100s – totals may differ due to rounding)"/>
        <w:tblDescription w:val="Table showing estimated adjacent retrofit workforce capacity in Wales by region and functional category, including direct, support, and supervisory roles, with totals for each region and for Wales overall."/>
      </w:tblPr>
      <w:tblGrid>
        <w:gridCol w:w="1924"/>
        <w:gridCol w:w="1924"/>
        <w:gridCol w:w="1923"/>
        <w:gridCol w:w="1923"/>
        <w:gridCol w:w="1336"/>
      </w:tblGrid>
      <w:tr w:rsidR="00DC2238" w:rsidRPr="00DC2238" w14:paraId="32211EF8" w14:textId="77777777" w:rsidTr="0081626E">
        <w:trPr>
          <w:trHeight w:val="300"/>
          <w:jc w:val="center"/>
        </w:trPr>
        <w:tc>
          <w:tcPr>
            <w:tcW w:w="1065" w:type="pct"/>
            <w:tcBorders>
              <w:top w:val="single" w:sz="8" w:space="0" w:color="auto"/>
              <w:left w:val="single" w:sz="8" w:space="0" w:color="auto"/>
              <w:bottom w:val="single" w:sz="8" w:space="0" w:color="auto"/>
              <w:right w:val="single" w:sz="8" w:space="0" w:color="auto"/>
            </w:tcBorders>
            <w:shd w:val="clear" w:color="000000" w:fill="00464D"/>
            <w:vAlign w:val="center"/>
            <w:hideMark/>
          </w:tcPr>
          <w:p w14:paraId="2F06840F" w14:textId="77777777" w:rsidR="00DC2238" w:rsidRPr="00DC2238" w:rsidRDefault="00DC2238" w:rsidP="00DC2238">
            <w:pPr>
              <w:spacing w:after="0"/>
              <w:jc w:val="center"/>
              <w:rPr>
                <w:rFonts w:eastAsia="Times New Roman" w:cs="Calibri"/>
                <w:b/>
                <w:bCs/>
                <w:color w:val="FFFFFF"/>
                <w:sz w:val="20"/>
                <w:lang w:eastAsia="en-GB"/>
              </w:rPr>
            </w:pPr>
            <w:r w:rsidRPr="00DC2238">
              <w:rPr>
                <w:rFonts w:eastAsia="Times New Roman" w:cs="Calibri"/>
                <w:b/>
                <w:bCs/>
                <w:color w:val="FFFFFF"/>
                <w:sz w:val="20"/>
                <w:lang w:eastAsia="en-GB"/>
              </w:rPr>
              <w:t>Region</w:t>
            </w:r>
          </w:p>
        </w:tc>
        <w:tc>
          <w:tcPr>
            <w:tcW w:w="1065" w:type="pct"/>
            <w:tcBorders>
              <w:top w:val="single" w:sz="8" w:space="0" w:color="auto"/>
              <w:left w:val="nil"/>
              <w:bottom w:val="single" w:sz="8" w:space="0" w:color="auto"/>
              <w:right w:val="single" w:sz="8" w:space="0" w:color="auto"/>
            </w:tcBorders>
            <w:shd w:val="clear" w:color="000000" w:fill="00464D"/>
            <w:vAlign w:val="center"/>
            <w:hideMark/>
          </w:tcPr>
          <w:p w14:paraId="28050F17" w14:textId="77777777" w:rsidR="00DC2238" w:rsidRPr="00DC2238" w:rsidRDefault="00DC2238" w:rsidP="00DC2238">
            <w:pPr>
              <w:spacing w:after="0"/>
              <w:jc w:val="center"/>
              <w:rPr>
                <w:rFonts w:eastAsia="Times New Roman" w:cs="Calibri"/>
                <w:b/>
                <w:bCs/>
                <w:color w:val="FFFFFF"/>
                <w:sz w:val="20"/>
                <w:lang w:eastAsia="en-GB"/>
              </w:rPr>
            </w:pPr>
            <w:r w:rsidRPr="00DC2238">
              <w:rPr>
                <w:rFonts w:eastAsia="Times New Roman" w:cs="Calibri"/>
                <w:b/>
                <w:bCs/>
                <w:color w:val="FFFFFF"/>
                <w:sz w:val="20"/>
                <w:lang w:eastAsia="en-GB"/>
              </w:rPr>
              <w:t>Direct</w:t>
            </w:r>
          </w:p>
        </w:tc>
        <w:tc>
          <w:tcPr>
            <w:tcW w:w="1065" w:type="pct"/>
            <w:tcBorders>
              <w:top w:val="single" w:sz="8" w:space="0" w:color="auto"/>
              <w:left w:val="nil"/>
              <w:bottom w:val="single" w:sz="8" w:space="0" w:color="auto"/>
              <w:right w:val="single" w:sz="8" w:space="0" w:color="auto"/>
            </w:tcBorders>
            <w:shd w:val="clear" w:color="000000" w:fill="00464D"/>
            <w:vAlign w:val="center"/>
            <w:hideMark/>
          </w:tcPr>
          <w:p w14:paraId="65209E73" w14:textId="77777777" w:rsidR="00DC2238" w:rsidRPr="00DC2238" w:rsidRDefault="00DC2238" w:rsidP="00DC2238">
            <w:pPr>
              <w:spacing w:after="0"/>
              <w:jc w:val="center"/>
              <w:rPr>
                <w:rFonts w:eastAsia="Times New Roman" w:cs="Calibri"/>
                <w:b/>
                <w:bCs/>
                <w:color w:val="FFFFFF"/>
                <w:sz w:val="20"/>
                <w:lang w:eastAsia="en-GB"/>
              </w:rPr>
            </w:pPr>
            <w:r w:rsidRPr="00DC2238">
              <w:rPr>
                <w:rFonts w:eastAsia="Times New Roman" w:cs="Calibri"/>
                <w:b/>
                <w:bCs/>
                <w:color w:val="FFFFFF"/>
                <w:sz w:val="20"/>
                <w:lang w:eastAsia="en-GB"/>
              </w:rPr>
              <w:t>Support</w:t>
            </w:r>
          </w:p>
        </w:tc>
        <w:tc>
          <w:tcPr>
            <w:tcW w:w="1065" w:type="pct"/>
            <w:tcBorders>
              <w:top w:val="single" w:sz="8" w:space="0" w:color="auto"/>
              <w:left w:val="nil"/>
              <w:bottom w:val="single" w:sz="8" w:space="0" w:color="auto"/>
              <w:right w:val="single" w:sz="8" w:space="0" w:color="auto"/>
            </w:tcBorders>
            <w:shd w:val="clear" w:color="000000" w:fill="00464D"/>
            <w:vAlign w:val="center"/>
            <w:hideMark/>
          </w:tcPr>
          <w:p w14:paraId="2F6B8B5A" w14:textId="77777777" w:rsidR="00DC2238" w:rsidRPr="00DC2238" w:rsidRDefault="00DC2238" w:rsidP="00DC2238">
            <w:pPr>
              <w:spacing w:after="0"/>
              <w:jc w:val="center"/>
              <w:rPr>
                <w:rFonts w:eastAsia="Times New Roman" w:cs="Calibri"/>
                <w:b/>
                <w:bCs/>
                <w:color w:val="FFFFFF"/>
                <w:sz w:val="20"/>
                <w:lang w:eastAsia="en-GB"/>
              </w:rPr>
            </w:pPr>
            <w:r w:rsidRPr="00DC2238">
              <w:rPr>
                <w:rFonts w:eastAsia="Times New Roman" w:cs="Calibri"/>
                <w:b/>
                <w:bCs/>
                <w:color w:val="FFFFFF"/>
                <w:sz w:val="20"/>
                <w:lang w:eastAsia="en-GB"/>
              </w:rPr>
              <w:t>Supervisory</w:t>
            </w:r>
          </w:p>
        </w:tc>
        <w:tc>
          <w:tcPr>
            <w:tcW w:w="740" w:type="pct"/>
            <w:tcBorders>
              <w:top w:val="single" w:sz="8" w:space="0" w:color="auto"/>
              <w:left w:val="nil"/>
              <w:bottom w:val="single" w:sz="8" w:space="0" w:color="auto"/>
              <w:right w:val="single" w:sz="8" w:space="0" w:color="auto"/>
            </w:tcBorders>
            <w:shd w:val="clear" w:color="000000" w:fill="00464D"/>
            <w:vAlign w:val="center"/>
            <w:hideMark/>
          </w:tcPr>
          <w:p w14:paraId="4BCDD2E9" w14:textId="77777777" w:rsidR="00DC2238" w:rsidRPr="00DC2238" w:rsidRDefault="00DC2238" w:rsidP="00DC2238">
            <w:pPr>
              <w:spacing w:after="0"/>
              <w:jc w:val="center"/>
              <w:rPr>
                <w:rFonts w:eastAsia="Times New Roman" w:cs="Calibri"/>
                <w:b/>
                <w:bCs/>
                <w:color w:val="FFFFFF"/>
                <w:sz w:val="20"/>
                <w:lang w:eastAsia="en-GB"/>
              </w:rPr>
            </w:pPr>
            <w:r w:rsidRPr="00DC2238">
              <w:rPr>
                <w:rFonts w:eastAsia="Times New Roman" w:cs="Calibri"/>
                <w:b/>
                <w:bCs/>
                <w:color w:val="FFFFFF"/>
                <w:sz w:val="20"/>
                <w:lang w:eastAsia="en-GB"/>
              </w:rPr>
              <w:t>Total</w:t>
            </w:r>
          </w:p>
        </w:tc>
      </w:tr>
      <w:tr w:rsidR="0081626E" w:rsidRPr="00DC2238" w14:paraId="09135457" w14:textId="77777777">
        <w:trPr>
          <w:trHeight w:val="690"/>
          <w:jc w:val="center"/>
        </w:trPr>
        <w:tc>
          <w:tcPr>
            <w:tcW w:w="1065" w:type="pct"/>
            <w:tcBorders>
              <w:top w:val="single" w:sz="8" w:space="0" w:color="auto"/>
              <w:left w:val="single" w:sz="8" w:space="0" w:color="auto"/>
              <w:bottom w:val="single" w:sz="8" w:space="0" w:color="auto"/>
              <w:right w:val="single" w:sz="8" w:space="0" w:color="auto"/>
            </w:tcBorders>
            <w:vAlign w:val="center"/>
            <w:hideMark/>
          </w:tcPr>
          <w:p w14:paraId="3BADE045" w14:textId="52F26BC4" w:rsidR="0081626E" w:rsidRPr="0081626E" w:rsidRDefault="0081626E" w:rsidP="0081626E">
            <w:pPr>
              <w:spacing w:after="0"/>
              <w:jc w:val="center"/>
              <w:rPr>
                <w:rFonts w:eastAsia="Times New Roman"/>
                <w:color w:val="000000"/>
                <w:sz w:val="20"/>
                <w:lang w:eastAsia="en-GB"/>
              </w:rPr>
            </w:pPr>
            <w:r w:rsidRPr="0081626E">
              <w:rPr>
                <w:color w:val="000000"/>
                <w:sz w:val="20"/>
              </w:rPr>
              <w:t>South East Wales</w:t>
            </w:r>
          </w:p>
        </w:tc>
        <w:tc>
          <w:tcPr>
            <w:tcW w:w="1065" w:type="pct"/>
            <w:tcBorders>
              <w:top w:val="single" w:sz="8" w:space="0" w:color="auto"/>
              <w:left w:val="nil"/>
              <w:bottom w:val="single" w:sz="8" w:space="0" w:color="auto"/>
              <w:right w:val="single" w:sz="8" w:space="0" w:color="auto"/>
            </w:tcBorders>
            <w:shd w:val="clear" w:color="000000" w:fill="FFFFFF"/>
            <w:vAlign w:val="center"/>
            <w:hideMark/>
          </w:tcPr>
          <w:p w14:paraId="1881782F" w14:textId="180C23E9" w:rsidR="0081626E" w:rsidRPr="0081626E" w:rsidRDefault="0081626E" w:rsidP="0081626E">
            <w:pPr>
              <w:spacing w:after="0"/>
              <w:jc w:val="center"/>
              <w:rPr>
                <w:rFonts w:eastAsia="Times New Roman"/>
                <w:color w:val="000000"/>
                <w:sz w:val="20"/>
                <w:lang w:eastAsia="en-GB"/>
              </w:rPr>
            </w:pPr>
            <w:r w:rsidRPr="0081626E">
              <w:rPr>
                <w:color w:val="000000"/>
                <w:sz w:val="20"/>
              </w:rPr>
              <w:t>2</w:t>
            </w:r>
            <w:r w:rsidR="00972545">
              <w:rPr>
                <w:color w:val="000000"/>
                <w:sz w:val="20"/>
              </w:rPr>
              <w:t>1</w:t>
            </w:r>
            <w:r>
              <w:rPr>
                <w:color w:val="000000"/>
                <w:sz w:val="20"/>
              </w:rPr>
              <w:t>,</w:t>
            </w:r>
            <w:r w:rsidR="00972545">
              <w:rPr>
                <w:color w:val="000000"/>
                <w:sz w:val="20"/>
              </w:rPr>
              <w:t>9</w:t>
            </w:r>
            <w:r>
              <w:rPr>
                <w:color w:val="000000"/>
                <w:sz w:val="20"/>
              </w:rPr>
              <w:t>00</w:t>
            </w:r>
          </w:p>
        </w:tc>
        <w:tc>
          <w:tcPr>
            <w:tcW w:w="1065" w:type="pct"/>
            <w:tcBorders>
              <w:top w:val="single" w:sz="8" w:space="0" w:color="auto"/>
              <w:left w:val="nil"/>
              <w:bottom w:val="single" w:sz="8" w:space="0" w:color="auto"/>
              <w:right w:val="single" w:sz="8" w:space="0" w:color="auto"/>
            </w:tcBorders>
            <w:shd w:val="clear" w:color="000000" w:fill="FFFFFF"/>
            <w:vAlign w:val="center"/>
            <w:hideMark/>
          </w:tcPr>
          <w:p w14:paraId="39EC50A2" w14:textId="5D3295FF" w:rsidR="0081626E" w:rsidRPr="0081626E" w:rsidRDefault="00972545" w:rsidP="0081626E">
            <w:pPr>
              <w:spacing w:after="0"/>
              <w:jc w:val="center"/>
              <w:rPr>
                <w:rFonts w:eastAsia="Times New Roman"/>
                <w:color w:val="000000"/>
                <w:sz w:val="20"/>
                <w:lang w:eastAsia="en-GB"/>
              </w:rPr>
            </w:pPr>
            <w:r>
              <w:rPr>
                <w:rFonts w:eastAsia="Times New Roman"/>
                <w:color w:val="000000"/>
                <w:sz w:val="20"/>
                <w:lang w:eastAsia="en-GB"/>
              </w:rPr>
              <w:t>8</w:t>
            </w:r>
            <w:r w:rsidR="0081626E">
              <w:rPr>
                <w:rFonts w:eastAsia="Times New Roman"/>
                <w:color w:val="000000"/>
                <w:sz w:val="20"/>
                <w:lang w:eastAsia="en-GB"/>
              </w:rPr>
              <w:t>,</w:t>
            </w:r>
            <w:r>
              <w:rPr>
                <w:rFonts w:eastAsia="Times New Roman"/>
                <w:color w:val="000000"/>
                <w:sz w:val="20"/>
                <w:lang w:eastAsia="en-GB"/>
              </w:rPr>
              <w:t>5</w:t>
            </w:r>
            <w:r w:rsidR="0081626E">
              <w:rPr>
                <w:rFonts w:eastAsia="Times New Roman"/>
                <w:color w:val="000000"/>
                <w:sz w:val="20"/>
                <w:lang w:eastAsia="en-GB"/>
              </w:rPr>
              <w:t>00</w:t>
            </w:r>
          </w:p>
        </w:tc>
        <w:tc>
          <w:tcPr>
            <w:tcW w:w="1065" w:type="pct"/>
            <w:tcBorders>
              <w:top w:val="single" w:sz="8" w:space="0" w:color="auto"/>
              <w:left w:val="nil"/>
              <w:bottom w:val="single" w:sz="8" w:space="0" w:color="auto"/>
              <w:right w:val="single" w:sz="8" w:space="0" w:color="auto"/>
            </w:tcBorders>
            <w:shd w:val="clear" w:color="000000" w:fill="FFFFFF"/>
            <w:vAlign w:val="center"/>
            <w:hideMark/>
          </w:tcPr>
          <w:p w14:paraId="39DE1B1D" w14:textId="44A95A1E" w:rsidR="0081626E" w:rsidRPr="0081626E" w:rsidRDefault="0081626E" w:rsidP="0081626E">
            <w:pPr>
              <w:spacing w:after="0"/>
              <w:jc w:val="center"/>
              <w:rPr>
                <w:rFonts w:eastAsia="Times New Roman"/>
                <w:color w:val="000000"/>
                <w:sz w:val="20"/>
                <w:lang w:eastAsia="en-GB"/>
              </w:rPr>
            </w:pPr>
            <w:r w:rsidRPr="0081626E">
              <w:rPr>
                <w:color w:val="000000"/>
                <w:sz w:val="20"/>
              </w:rPr>
              <w:t>29,</w:t>
            </w:r>
            <w:r w:rsidR="00972545">
              <w:rPr>
                <w:color w:val="000000"/>
                <w:sz w:val="20"/>
              </w:rPr>
              <w:t>2</w:t>
            </w:r>
            <w:r>
              <w:rPr>
                <w:color w:val="000000"/>
                <w:sz w:val="20"/>
              </w:rPr>
              <w:t>00</w:t>
            </w:r>
          </w:p>
        </w:tc>
        <w:tc>
          <w:tcPr>
            <w:tcW w:w="740" w:type="pct"/>
            <w:tcBorders>
              <w:top w:val="single" w:sz="8" w:space="0" w:color="auto"/>
              <w:left w:val="nil"/>
              <w:bottom w:val="single" w:sz="8" w:space="0" w:color="auto"/>
              <w:right w:val="single" w:sz="8" w:space="0" w:color="auto"/>
            </w:tcBorders>
            <w:shd w:val="clear" w:color="000000" w:fill="FFFFFF"/>
            <w:vAlign w:val="center"/>
            <w:hideMark/>
          </w:tcPr>
          <w:p w14:paraId="18C2ED39" w14:textId="0C062D08" w:rsidR="0081626E" w:rsidRPr="0081626E" w:rsidRDefault="00972545" w:rsidP="0081626E">
            <w:pPr>
              <w:spacing w:after="0"/>
              <w:jc w:val="center"/>
              <w:rPr>
                <w:rFonts w:eastAsia="Times New Roman"/>
                <w:color w:val="000000"/>
                <w:sz w:val="20"/>
                <w:lang w:eastAsia="en-GB"/>
              </w:rPr>
            </w:pPr>
            <w:r>
              <w:rPr>
                <w:color w:val="000000"/>
                <w:sz w:val="20"/>
              </w:rPr>
              <w:t>59</w:t>
            </w:r>
            <w:r w:rsidR="0081626E">
              <w:rPr>
                <w:color w:val="000000"/>
                <w:sz w:val="20"/>
              </w:rPr>
              <w:t>,</w:t>
            </w:r>
            <w:r>
              <w:rPr>
                <w:color w:val="000000"/>
                <w:sz w:val="20"/>
              </w:rPr>
              <w:t>8</w:t>
            </w:r>
            <w:r w:rsidR="0081626E">
              <w:rPr>
                <w:color w:val="000000"/>
                <w:sz w:val="20"/>
              </w:rPr>
              <w:t>00</w:t>
            </w:r>
          </w:p>
        </w:tc>
      </w:tr>
      <w:tr w:rsidR="0081626E" w:rsidRPr="00DC2238" w14:paraId="3FE335F7" w14:textId="77777777" w:rsidTr="0081626E">
        <w:trPr>
          <w:trHeight w:val="690"/>
          <w:jc w:val="center"/>
        </w:trPr>
        <w:tc>
          <w:tcPr>
            <w:tcW w:w="1065" w:type="pct"/>
            <w:tcBorders>
              <w:top w:val="nil"/>
              <w:left w:val="single" w:sz="8" w:space="0" w:color="auto"/>
              <w:bottom w:val="single" w:sz="8" w:space="0" w:color="auto"/>
              <w:right w:val="single" w:sz="8" w:space="0" w:color="auto"/>
            </w:tcBorders>
            <w:vAlign w:val="center"/>
            <w:hideMark/>
          </w:tcPr>
          <w:p w14:paraId="45973CA9" w14:textId="026F2DB9" w:rsidR="0081626E" w:rsidRPr="0081626E" w:rsidRDefault="0081626E" w:rsidP="0081626E">
            <w:pPr>
              <w:spacing w:after="0"/>
              <w:jc w:val="center"/>
              <w:rPr>
                <w:rFonts w:eastAsia="Times New Roman"/>
                <w:color w:val="000000"/>
                <w:sz w:val="20"/>
                <w:lang w:eastAsia="en-GB"/>
              </w:rPr>
            </w:pPr>
            <w:r w:rsidRPr="0081626E">
              <w:rPr>
                <w:color w:val="000000"/>
                <w:sz w:val="20"/>
              </w:rPr>
              <w:t>South West Wales</w:t>
            </w:r>
          </w:p>
        </w:tc>
        <w:tc>
          <w:tcPr>
            <w:tcW w:w="1065" w:type="pct"/>
            <w:tcBorders>
              <w:top w:val="nil"/>
              <w:left w:val="nil"/>
              <w:bottom w:val="single" w:sz="8" w:space="0" w:color="auto"/>
              <w:right w:val="single" w:sz="8" w:space="0" w:color="auto"/>
            </w:tcBorders>
            <w:shd w:val="clear" w:color="000000" w:fill="FFFFFF"/>
            <w:vAlign w:val="center"/>
            <w:hideMark/>
          </w:tcPr>
          <w:p w14:paraId="55FEFBEE" w14:textId="10DD7781" w:rsidR="0081626E" w:rsidRPr="0081626E" w:rsidRDefault="00972545" w:rsidP="0081626E">
            <w:pPr>
              <w:spacing w:after="0"/>
              <w:jc w:val="center"/>
              <w:rPr>
                <w:rFonts w:eastAsia="Times New Roman"/>
                <w:color w:val="000000"/>
                <w:sz w:val="20"/>
                <w:lang w:eastAsia="en-GB"/>
              </w:rPr>
            </w:pPr>
            <w:r>
              <w:rPr>
                <w:color w:val="000000"/>
                <w:sz w:val="20"/>
              </w:rPr>
              <w:t>4</w:t>
            </w:r>
            <w:r w:rsidR="0081626E">
              <w:rPr>
                <w:color w:val="000000"/>
                <w:sz w:val="20"/>
              </w:rPr>
              <w:t>,</w:t>
            </w:r>
            <w:r>
              <w:rPr>
                <w:color w:val="000000"/>
                <w:sz w:val="20"/>
              </w:rPr>
              <w:t>7</w:t>
            </w:r>
            <w:r w:rsidR="0081626E">
              <w:rPr>
                <w:color w:val="000000"/>
                <w:sz w:val="20"/>
              </w:rPr>
              <w:t>00</w:t>
            </w:r>
          </w:p>
        </w:tc>
        <w:tc>
          <w:tcPr>
            <w:tcW w:w="1065" w:type="pct"/>
            <w:tcBorders>
              <w:top w:val="nil"/>
              <w:left w:val="nil"/>
              <w:bottom w:val="single" w:sz="8" w:space="0" w:color="auto"/>
              <w:right w:val="single" w:sz="8" w:space="0" w:color="auto"/>
            </w:tcBorders>
            <w:shd w:val="clear" w:color="000000" w:fill="FFFFFF"/>
            <w:vAlign w:val="center"/>
            <w:hideMark/>
          </w:tcPr>
          <w:p w14:paraId="3213BFD0" w14:textId="2F344BEE" w:rsidR="0081626E" w:rsidRPr="0081626E" w:rsidRDefault="00972545" w:rsidP="0081626E">
            <w:pPr>
              <w:spacing w:after="0"/>
              <w:jc w:val="center"/>
              <w:rPr>
                <w:rFonts w:eastAsia="Times New Roman"/>
                <w:color w:val="000000"/>
                <w:sz w:val="20"/>
                <w:lang w:eastAsia="en-GB"/>
              </w:rPr>
            </w:pPr>
            <w:r>
              <w:rPr>
                <w:color w:val="000000"/>
                <w:sz w:val="20"/>
              </w:rPr>
              <w:t>2</w:t>
            </w:r>
            <w:r w:rsidR="0081626E">
              <w:rPr>
                <w:color w:val="000000"/>
                <w:sz w:val="20"/>
              </w:rPr>
              <w:t>,</w:t>
            </w:r>
            <w:r>
              <w:rPr>
                <w:color w:val="000000"/>
                <w:sz w:val="20"/>
              </w:rPr>
              <w:t>6</w:t>
            </w:r>
            <w:r w:rsidR="0081626E">
              <w:rPr>
                <w:color w:val="000000"/>
                <w:sz w:val="20"/>
              </w:rPr>
              <w:t>00</w:t>
            </w:r>
          </w:p>
        </w:tc>
        <w:tc>
          <w:tcPr>
            <w:tcW w:w="1065" w:type="pct"/>
            <w:tcBorders>
              <w:top w:val="nil"/>
              <w:left w:val="nil"/>
              <w:bottom w:val="single" w:sz="8" w:space="0" w:color="auto"/>
              <w:right w:val="single" w:sz="8" w:space="0" w:color="auto"/>
            </w:tcBorders>
            <w:shd w:val="clear" w:color="000000" w:fill="FFFFFF"/>
            <w:vAlign w:val="center"/>
            <w:hideMark/>
          </w:tcPr>
          <w:p w14:paraId="3AB26D0C" w14:textId="4DD86880" w:rsidR="0081626E" w:rsidRPr="0081626E" w:rsidRDefault="0081626E" w:rsidP="0081626E">
            <w:pPr>
              <w:spacing w:after="0"/>
              <w:jc w:val="center"/>
              <w:rPr>
                <w:rFonts w:eastAsia="Times New Roman"/>
                <w:color w:val="000000"/>
                <w:sz w:val="20"/>
                <w:lang w:eastAsia="en-GB"/>
              </w:rPr>
            </w:pPr>
            <w:r w:rsidRPr="0081626E">
              <w:rPr>
                <w:color w:val="000000"/>
                <w:sz w:val="20"/>
              </w:rPr>
              <w:t>6,</w:t>
            </w:r>
            <w:r w:rsidR="00972545">
              <w:rPr>
                <w:color w:val="000000"/>
                <w:sz w:val="20"/>
              </w:rPr>
              <w:t>4</w:t>
            </w:r>
            <w:r>
              <w:rPr>
                <w:color w:val="000000"/>
                <w:sz w:val="20"/>
              </w:rPr>
              <w:t>00</w:t>
            </w:r>
          </w:p>
        </w:tc>
        <w:tc>
          <w:tcPr>
            <w:tcW w:w="740" w:type="pct"/>
            <w:tcBorders>
              <w:top w:val="nil"/>
              <w:left w:val="nil"/>
              <w:bottom w:val="single" w:sz="8" w:space="0" w:color="auto"/>
              <w:right w:val="single" w:sz="8" w:space="0" w:color="auto"/>
            </w:tcBorders>
            <w:shd w:val="clear" w:color="000000" w:fill="FFFFFF"/>
            <w:vAlign w:val="center"/>
            <w:hideMark/>
          </w:tcPr>
          <w:p w14:paraId="6A0E4112" w14:textId="684E3B1A" w:rsidR="0081626E" w:rsidRPr="0081626E" w:rsidRDefault="0081626E" w:rsidP="0081626E">
            <w:pPr>
              <w:spacing w:after="0"/>
              <w:jc w:val="center"/>
              <w:rPr>
                <w:rFonts w:eastAsia="Times New Roman"/>
                <w:color w:val="000000"/>
                <w:sz w:val="20"/>
                <w:lang w:eastAsia="en-GB"/>
              </w:rPr>
            </w:pPr>
            <w:r w:rsidRPr="0081626E">
              <w:rPr>
                <w:color w:val="000000"/>
                <w:sz w:val="20"/>
              </w:rPr>
              <w:t>1</w:t>
            </w:r>
            <w:r w:rsidR="00972545">
              <w:rPr>
                <w:color w:val="000000"/>
                <w:sz w:val="20"/>
              </w:rPr>
              <w:t>3</w:t>
            </w:r>
            <w:r>
              <w:rPr>
                <w:color w:val="000000"/>
                <w:sz w:val="20"/>
              </w:rPr>
              <w:t>,</w:t>
            </w:r>
            <w:r w:rsidR="00972545">
              <w:rPr>
                <w:color w:val="000000"/>
                <w:sz w:val="20"/>
              </w:rPr>
              <w:t>6</w:t>
            </w:r>
            <w:r>
              <w:rPr>
                <w:color w:val="000000"/>
                <w:sz w:val="20"/>
              </w:rPr>
              <w:t>00</w:t>
            </w:r>
          </w:p>
        </w:tc>
      </w:tr>
      <w:tr w:rsidR="0081626E" w:rsidRPr="00DC2238" w14:paraId="7267D934" w14:textId="77777777" w:rsidTr="0081626E">
        <w:trPr>
          <w:trHeight w:val="690"/>
          <w:jc w:val="center"/>
        </w:trPr>
        <w:tc>
          <w:tcPr>
            <w:tcW w:w="1065" w:type="pct"/>
            <w:tcBorders>
              <w:top w:val="nil"/>
              <w:left w:val="single" w:sz="8" w:space="0" w:color="auto"/>
              <w:bottom w:val="single" w:sz="8" w:space="0" w:color="auto"/>
              <w:right w:val="single" w:sz="8" w:space="0" w:color="auto"/>
            </w:tcBorders>
            <w:vAlign w:val="center"/>
          </w:tcPr>
          <w:p w14:paraId="0E3B3E3A" w14:textId="511ED0F2" w:rsidR="0081626E" w:rsidRPr="0081626E" w:rsidRDefault="0081626E" w:rsidP="0081626E">
            <w:pPr>
              <w:spacing w:after="0"/>
              <w:jc w:val="center"/>
              <w:rPr>
                <w:rFonts w:eastAsia="Times New Roman"/>
                <w:color w:val="000000"/>
                <w:sz w:val="20"/>
                <w:lang w:eastAsia="en-GB"/>
              </w:rPr>
            </w:pPr>
            <w:r w:rsidRPr="0081626E">
              <w:rPr>
                <w:color w:val="000000"/>
                <w:sz w:val="20"/>
              </w:rPr>
              <w:t>Mid Wales</w:t>
            </w:r>
          </w:p>
        </w:tc>
        <w:tc>
          <w:tcPr>
            <w:tcW w:w="1065" w:type="pct"/>
            <w:tcBorders>
              <w:top w:val="nil"/>
              <w:left w:val="nil"/>
              <w:bottom w:val="single" w:sz="8" w:space="0" w:color="auto"/>
              <w:right w:val="single" w:sz="8" w:space="0" w:color="auto"/>
            </w:tcBorders>
            <w:shd w:val="clear" w:color="000000" w:fill="FFFFFF"/>
            <w:vAlign w:val="center"/>
          </w:tcPr>
          <w:p w14:paraId="11CEDCFD" w14:textId="4F3CECEB" w:rsidR="0081626E" w:rsidRPr="0081626E" w:rsidRDefault="0081626E" w:rsidP="0081626E">
            <w:pPr>
              <w:spacing w:after="0"/>
              <w:jc w:val="center"/>
              <w:rPr>
                <w:rFonts w:eastAsia="Times New Roman"/>
                <w:color w:val="000000"/>
                <w:sz w:val="20"/>
                <w:lang w:eastAsia="en-GB"/>
              </w:rPr>
            </w:pPr>
            <w:r w:rsidRPr="0081626E">
              <w:rPr>
                <w:color w:val="000000"/>
                <w:sz w:val="20"/>
              </w:rPr>
              <w:t>3,0</w:t>
            </w:r>
            <w:r>
              <w:rPr>
                <w:color w:val="000000"/>
                <w:sz w:val="20"/>
              </w:rPr>
              <w:t>00</w:t>
            </w:r>
          </w:p>
        </w:tc>
        <w:tc>
          <w:tcPr>
            <w:tcW w:w="1065" w:type="pct"/>
            <w:tcBorders>
              <w:top w:val="nil"/>
              <w:left w:val="nil"/>
              <w:bottom w:val="single" w:sz="8" w:space="0" w:color="auto"/>
              <w:right w:val="single" w:sz="8" w:space="0" w:color="auto"/>
            </w:tcBorders>
            <w:shd w:val="clear" w:color="000000" w:fill="FFFFFF"/>
            <w:vAlign w:val="center"/>
          </w:tcPr>
          <w:p w14:paraId="480085F0" w14:textId="1FD7B337" w:rsidR="0081626E" w:rsidRPr="0081626E" w:rsidRDefault="00972545" w:rsidP="0081626E">
            <w:pPr>
              <w:spacing w:after="0"/>
              <w:jc w:val="center"/>
              <w:rPr>
                <w:rFonts w:eastAsia="Times New Roman"/>
                <w:color w:val="000000"/>
                <w:sz w:val="20"/>
                <w:lang w:eastAsia="en-GB"/>
              </w:rPr>
            </w:pPr>
            <w:r>
              <w:rPr>
                <w:color w:val="000000"/>
                <w:sz w:val="20"/>
              </w:rPr>
              <w:t>1</w:t>
            </w:r>
            <w:r w:rsidR="0081626E">
              <w:rPr>
                <w:color w:val="000000"/>
                <w:sz w:val="20"/>
              </w:rPr>
              <w:t>,</w:t>
            </w:r>
            <w:r>
              <w:rPr>
                <w:color w:val="000000"/>
                <w:sz w:val="20"/>
              </w:rPr>
              <w:t>80</w:t>
            </w:r>
            <w:r w:rsidR="0081626E">
              <w:rPr>
                <w:color w:val="000000"/>
                <w:sz w:val="20"/>
              </w:rPr>
              <w:t>0</w:t>
            </w:r>
          </w:p>
        </w:tc>
        <w:tc>
          <w:tcPr>
            <w:tcW w:w="1065" w:type="pct"/>
            <w:tcBorders>
              <w:top w:val="nil"/>
              <w:left w:val="nil"/>
              <w:bottom w:val="single" w:sz="8" w:space="0" w:color="auto"/>
              <w:right w:val="single" w:sz="8" w:space="0" w:color="auto"/>
            </w:tcBorders>
            <w:shd w:val="clear" w:color="000000" w:fill="FFFFFF"/>
            <w:vAlign w:val="center"/>
          </w:tcPr>
          <w:p w14:paraId="571F3296" w14:textId="59BD7547" w:rsidR="0081626E" w:rsidRPr="0081626E" w:rsidRDefault="0081626E" w:rsidP="0081626E">
            <w:pPr>
              <w:spacing w:after="0"/>
              <w:jc w:val="center"/>
              <w:rPr>
                <w:rFonts w:eastAsia="Times New Roman"/>
                <w:color w:val="000000"/>
                <w:sz w:val="20"/>
                <w:lang w:eastAsia="en-GB"/>
              </w:rPr>
            </w:pPr>
            <w:r w:rsidRPr="0081626E">
              <w:rPr>
                <w:color w:val="000000"/>
                <w:sz w:val="20"/>
              </w:rPr>
              <w:t>5,</w:t>
            </w:r>
            <w:r w:rsidR="00972545">
              <w:rPr>
                <w:color w:val="000000"/>
                <w:sz w:val="20"/>
              </w:rPr>
              <w:t>1</w:t>
            </w:r>
            <w:r>
              <w:rPr>
                <w:color w:val="000000"/>
                <w:sz w:val="20"/>
              </w:rPr>
              <w:t>00</w:t>
            </w:r>
          </w:p>
        </w:tc>
        <w:tc>
          <w:tcPr>
            <w:tcW w:w="740" w:type="pct"/>
            <w:tcBorders>
              <w:top w:val="nil"/>
              <w:left w:val="nil"/>
              <w:bottom w:val="single" w:sz="8" w:space="0" w:color="auto"/>
              <w:right w:val="single" w:sz="8" w:space="0" w:color="auto"/>
            </w:tcBorders>
            <w:shd w:val="clear" w:color="000000" w:fill="FFFFFF"/>
            <w:vAlign w:val="center"/>
          </w:tcPr>
          <w:p w14:paraId="62E47BA2" w14:textId="25D3581E" w:rsidR="0081626E" w:rsidRPr="0081626E" w:rsidRDefault="00972545" w:rsidP="0081626E">
            <w:pPr>
              <w:spacing w:after="0"/>
              <w:jc w:val="center"/>
              <w:rPr>
                <w:rFonts w:eastAsia="Times New Roman"/>
                <w:color w:val="000000"/>
                <w:sz w:val="20"/>
                <w:lang w:eastAsia="en-GB"/>
              </w:rPr>
            </w:pPr>
            <w:r>
              <w:rPr>
                <w:color w:val="000000"/>
                <w:sz w:val="20"/>
              </w:rPr>
              <w:t>9</w:t>
            </w:r>
            <w:r w:rsidR="0081626E">
              <w:rPr>
                <w:color w:val="000000"/>
                <w:sz w:val="20"/>
              </w:rPr>
              <w:t>,</w:t>
            </w:r>
            <w:r>
              <w:rPr>
                <w:color w:val="000000"/>
                <w:sz w:val="20"/>
              </w:rPr>
              <w:t>9</w:t>
            </w:r>
            <w:r w:rsidR="0081626E">
              <w:rPr>
                <w:color w:val="000000"/>
                <w:sz w:val="20"/>
              </w:rPr>
              <w:t>00</w:t>
            </w:r>
          </w:p>
        </w:tc>
      </w:tr>
      <w:tr w:rsidR="0081626E" w:rsidRPr="00DC2238" w14:paraId="530A3897" w14:textId="77777777" w:rsidTr="0081626E">
        <w:trPr>
          <w:trHeight w:val="690"/>
          <w:jc w:val="center"/>
        </w:trPr>
        <w:tc>
          <w:tcPr>
            <w:tcW w:w="1065" w:type="pct"/>
            <w:tcBorders>
              <w:top w:val="nil"/>
              <w:left w:val="single" w:sz="8" w:space="0" w:color="auto"/>
              <w:bottom w:val="single" w:sz="8" w:space="0" w:color="auto"/>
              <w:right w:val="single" w:sz="8" w:space="0" w:color="auto"/>
            </w:tcBorders>
            <w:vAlign w:val="center"/>
          </w:tcPr>
          <w:p w14:paraId="39974B84" w14:textId="69B0D53D" w:rsidR="0081626E" w:rsidRPr="0081626E" w:rsidRDefault="0081626E" w:rsidP="0081626E">
            <w:pPr>
              <w:spacing w:after="0"/>
              <w:jc w:val="center"/>
              <w:rPr>
                <w:rFonts w:eastAsia="Times New Roman"/>
                <w:color w:val="000000"/>
                <w:sz w:val="20"/>
                <w:lang w:eastAsia="en-GB"/>
              </w:rPr>
            </w:pPr>
            <w:r w:rsidRPr="0081626E">
              <w:rPr>
                <w:color w:val="000000"/>
                <w:sz w:val="20"/>
              </w:rPr>
              <w:t>North Wales</w:t>
            </w:r>
          </w:p>
        </w:tc>
        <w:tc>
          <w:tcPr>
            <w:tcW w:w="1065" w:type="pct"/>
            <w:tcBorders>
              <w:top w:val="nil"/>
              <w:left w:val="nil"/>
              <w:bottom w:val="single" w:sz="8" w:space="0" w:color="auto"/>
              <w:right w:val="single" w:sz="8" w:space="0" w:color="auto"/>
            </w:tcBorders>
            <w:shd w:val="clear" w:color="000000" w:fill="FFFFFF"/>
            <w:vAlign w:val="center"/>
          </w:tcPr>
          <w:p w14:paraId="7C38E210" w14:textId="519B986A" w:rsidR="0081626E" w:rsidRPr="0081626E" w:rsidRDefault="0081626E" w:rsidP="0081626E">
            <w:pPr>
              <w:spacing w:after="0"/>
              <w:jc w:val="center"/>
              <w:rPr>
                <w:rFonts w:eastAsia="Times New Roman"/>
                <w:color w:val="000000"/>
                <w:sz w:val="20"/>
                <w:lang w:eastAsia="en-GB"/>
              </w:rPr>
            </w:pPr>
            <w:r w:rsidRPr="0081626E">
              <w:rPr>
                <w:color w:val="000000"/>
                <w:sz w:val="20"/>
              </w:rPr>
              <w:t>1</w:t>
            </w:r>
            <w:r w:rsidR="00972545">
              <w:rPr>
                <w:color w:val="000000"/>
                <w:sz w:val="20"/>
              </w:rPr>
              <w:t>1</w:t>
            </w:r>
            <w:r>
              <w:rPr>
                <w:color w:val="000000"/>
                <w:sz w:val="20"/>
              </w:rPr>
              <w:t>,</w:t>
            </w:r>
            <w:r w:rsidR="00972545">
              <w:rPr>
                <w:color w:val="000000"/>
                <w:sz w:val="20"/>
              </w:rPr>
              <w:t>9</w:t>
            </w:r>
            <w:r>
              <w:rPr>
                <w:color w:val="000000"/>
                <w:sz w:val="20"/>
              </w:rPr>
              <w:t>00</w:t>
            </w:r>
          </w:p>
        </w:tc>
        <w:tc>
          <w:tcPr>
            <w:tcW w:w="1065" w:type="pct"/>
            <w:tcBorders>
              <w:top w:val="nil"/>
              <w:left w:val="nil"/>
              <w:bottom w:val="single" w:sz="8" w:space="0" w:color="auto"/>
              <w:right w:val="single" w:sz="8" w:space="0" w:color="auto"/>
            </w:tcBorders>
            <w:shd w:val="clear" w:color="000000" w:fill="FFFFFF"/>
            <w:vAlign w:val="center"/>
          </w:tcPr>
          <w:p w14:paraId="2D457B39" w14:textId="14CBD560" w:rsidR="0081626E" w:rsidRPr="0081626E" w:rsidRDefault="0081626E" w:rsidP="0081626E">
            <w:pPr>
              <w:spacing w:after="0"/>
              <w:jc w:val="center"/>
              <w:rPr>
                <w:rFonts w:eastAsia="Times New Roman"/>
                <w:color w:val="000000"/>
                <w:sz w:val="20"/>
                <w:lang w:eastAsia="en-GB"/>
              </w:rPr>
            </w:pPr>
            <w:r w:rsidRPr="0081626E">
              <w:rPr>
                <w:color w:val="000000"/>
                <w:sz w:val="20"/>
              </w:rPr>
              <w:t>4,</w:t>
            </w:r>
            <w:r w:rsidR="00972545">
              <w:rPr>
                <w:color w:val="000000"/>
                <w:sz w:val="20"/>
              </w:rPr>
              <w:t>2</w:t>
            </w:r>
            <w:r>
              <w:rPr>
                <w:color w:val="000000"/>
                <w:sz w:val="20"/>
              </w:rPr>
              <w:t>00</w:t>
            </w:r>
          </w:p>
        </w:tc>
        <w:tc>
          <w:tcPr>
            <w:tcW w:w="1065" w:type="pct"/>
            <w:tcBorders>
              <w:top w:val="nil"/>
              <w:left w:val="nil"/>
              <w:bottom w:val="single" w:sz="8" w:space="0" w:color="auto"/>
              <w:right w:val="single" w:sz="8" w:space="0" w:color="auto"/>
            </w:tcBorders>
            <w:shd w:val="clear" w:color="000000" w:fill="FFFFFF"/>
            <w:vAlign w:val="center"/>
          </w:tcPr>
          <w:p w14:paraId="5D94F37A" w14:textId="086223E7" w:rsidR="0081626E" w:rsidRPr="0081626E" w:rsidRDefault="0081626E" w:rsidP="0081626E">
            <w:pPr>
              <w:spacing w:after="0"/>
              <w:jc w:val="center"/>
              <w:rPr>
                <w:rFonts w:eastAsia="Times New Roman"/>
                <w:color w:val="000000"/>
                <w:sz w:val="20"/>
                <w:lang w:eastAsia="en-GB"/>
              </w:rPr>
            </w:pPr>
            <w:r w:rsidRPr="0081626E">
              <w:rPr>
                <w:color w:val="000000"/>
                <w:sz w:val="20"/>
              </w:rPr>
              <w:t>1</w:t>
            </w:r>
            <w:r w:rsidR="00972545">
              <w:rPr>
                <w:color w:val="000000"/>
                <w:sz w:val="20"/>
              </w:rPr>
              <w:t>7</w:t>
            </w:r>
            <w:r>
              <w:rPr>
                <w:color w:val="000000"/>
                <w:sz w:val="20"/>
              </w:rPr>
              <w:t>,000</w:t>
            </w:r>
          </w:p>
        </w:tc>
        <w:tc>
          <w:tcPr>
            <w:tcW w:w="740" w:type="pct"/>
            <w:tcBorders>
              <w:top w:val="nil"/>
              <w:left w:val="nil"/>
              <w:bottom w:val="single" w:sz="8" w:space="0" w:color="auto"/>
              <w:right w:val="single" w:sz="8" w:space="0" w:color="auto"/>
            </w:tcBorders>
            <w:shd w:val="clear" w:color="000000" w:fill="FFFFFF"/>
            <w:vAlign w:val="center"/>
          </w:tcPr>
          <w:p w14:paraId="364D6AE2" w14:textId="1794F15F" w:rsidR="0081626E" w:rsidRPr="0081626E" w:rsidRDefault="0081626E" w:rsidP="0081626E">
            <w:pPr>
              <w:spacing w:after="0"/>
              <w:jc w:val="center"/>
              <w:rPr>
                <w:rFonts w:eastAsia="Times New Roman"/>
                <w:color w:val="000000"/>
                <w:sz w:val="20"/>
                <w:lang w:eastAsia="en-GB"/>
              </w:rPr>
            </w:pPr>
            <w:r w:rsidRPr="0081626E">
              <w:rPr>
                <w:color w:val="000000"/>
                <w:sz w:val="20"/>
              </w:rPr>
              <w:t>33,0</w:t>
            </w:r>
            <w:r>
              <w:rPr>
                <w:color w:val="000000"/>
                <w:sz w:val="20"/>
              </w:rPr>
              <w:t>00</w:t>
            </w:r>
          </w:p>
        </w:tc>
      </w:tr>
      <w:tr w:rsidR="00DC2238" w:rsidRPr="00DC2238" w14:paraId="0BA3FCD2" w14:textId="77777777" w:rsidTr="0081626E">
        <w:trPr>
          <w:trHeight w:val="690"/>
          <w:jc w:val="center"/>
        </w:trPr>
        <w:tc>
          <w:tcPr>
            <w:tcW w:w="1065" w:type="pct"/>
            <w:tcBorders>
              <w:top w:val="nil"/>
              <w:left w:val="single" w:sz="8" w:space="0" w:color="auto"/>
              <w:bottom w:val="single" w:sz="8" w:space="0" w:color="auto"/>
              <w:right w:val="single" w:sz="8" w:space="0" w:color="auto"/>
            </w:tcBorders>
            <w:shd w:val="clear" w:color="auto" w:fill="008C9B" w:themeFill="text2"/>
            <w:vAlign w:val="center"/>
            <w:hideMark/>
          </w:tcPr>
          <w:p w14:paraId="0A9A2A30" w14:textId="7385A9C8" w:rsidR="00DC2238" w:rsidRPr="00581208" w:rsidRDefault="00581208" w:rsidP="00DC2238">
            <w:pPr>
              <w:spacing w:after="0"/>
              <w:jc w:val="center"/>
              <w:rPr>
                <w:rFonts w:eastAsia="Times New Roman"/>
                <w:b/>
                <w:bCs/>
                <w:color w:val="FFFFFF" w:themeColor="background1"/>
                <w:sz w:val="20"/>
                <w:lang w:eastAsia="en-GB"/>
              </w:rPr>
            </w:pPr>
            <w:r w:rsidRPr="00581208">
              <w:rPr>
                <w:rFonts w:eastAsia="Times New Roman"/>
                <w:b/>
                <w:bCs/>
                <w:color w:val="FFFFFF" w:themeColor="background1"/>
                <w:sz w:val="20"/>
                <w:lang w:eastAsia="en-GB"/>
              </w:rPr>
              <w:t>Wales</w:t>
            </w:r>
          </w:p>
        </w:tc>
        <w:tc>
          <w:tcPr>
            <w:tcW w:w="1065" w:type="pct"/>
            <w:tcBorders>
              <w:top w:val="nil"/>
              <w:left w:val="nil"/>
              <w:bottom w:val="single" w:sz="8" w:space="0" w:color="auto"/>
              <w:right w:val="single" w:sz="8" w:space="0" w:color="auto"/>
            </w:tcBorders>
            <w:shd w:val="clear" w:color="auto" w:fill="008C9B" w:themeFill="text2"/>
            <w:vAlign w:val="center"/>
            <w:hideMark/>
          </w:tcPr>
          <w:p w14:paraId="575124AA" w14:textId="5C4E863C" w:rsidR="00DC2238" w:rsidRPr="00581208" w:rsidRDefault="00DC2238" w:rsidP="00DC2238">
            <w:pPr>
              <w:spacing w:after="0"/>
              <w:jc w:val="center"/>
              <w:rPr>
                <w:rFonts w:eastAsia="Times New Roman"/>
                <w:b/>
                <w:bCs/>
                <w:color w:val="FFFFFF" w:themeColor="background1"/>
                <w:sz w:val="20"/>
                <w:lang w:eastAsia="en-GB"/>
              </w:rPr>
            </w:pPr>
            <w:r w:rsidRPr="00581208">
              <w:rPr>
                <w:rFonts w:eastAsia="Times New Roman"/>
                <w:b/>
                <w:bCs/>
                <w:color w:val="FFFFFF" w:themeColor="background1"/>
                <w:sz w:val="20"/>
                <w:lang w:eastAsia="en-GB"/>
              </w:rPr>
              <w:t>4</w:t>
            </w:r>
            <w:r w:rsidR="00972545">
              <w:rPr>
                <w:rFonts w:eastAsia="Times New Roman"/>
                <w:b/>
                <w:bCs/>
                <w:color w:val="FFFFFF" w:themeColor="background1"/>
                <w:sz w:val="20"/>
                <w:lang w:eastAsia="en-GB"/>
              </w:rPr>
              <w:t>1</w:t>
            </w:r>
            <w:r w:rsidR="0081626E">
              <w:rPr>
                <w:rFonts w:eastAsia="Times New Roman"/>
                <w:b/>
                <w:bCs/>
                <w:color w:val="FFFFFF" w:themeColor="background1"/>
                <w:sz w:val="20"/>
                <w:lang w:eastAsia="en-GB"/>
              </w:rPr>
              <w:t>,</w:t>
            </w:r>
            <w:r w:rsidR="00972545">
              <w:rPr>
                <w:rFonts w:eastAsia="Times New Roman"/>
                <w:b/>
                <w:bCs/>
                <w:color w:val="FFFFFF" w:themeColor="background1"/>
                <w:sz w:val="20"/>
                <w:lang w:eastAsia="en-GB"/>
              </w:rPr>
              <w:t>6</w:t>
            </w:r>
            <w:r w:rsidR="0081626E">
              <w:rPr>
                <w:rFonts w:eastAsia="Times New Roman"/>
                <w:b/>
                <w:bCs/>
                <w:color w:val="FFFFFF" w:themeColor="background1"/>
                <w:sz w:val="20"/>
                <w:lang w:eastAsia="en-GB"/>
              </w:rPr>
              <w:t>00</w:t>
            </w:r>
          </w:p>
        </w:tc>
        <w:tc>
          <w:tcPr>
            <w:tcW w:w="1065" w:type="pct"/>
            <w:tcBorders>
              <w:top w:val="nil"/>
              <w:left w:val="nil"/>
              <w:bottom w:val="single" w:sz="8" w:space="0" w:color="auto"/>
              <w:right w:val="single" w:sz="8" w:space="0" w:color="auto"/>
            </w:tcBorders>
            <w:shd w:val="clear" w:color="auto" w:fill="008C9B" w:themeFill="text2"/>
            <w:vAlign w:val="center"/>
            <w:hideMark/>
          </w:tcPr>
          <w:p w14:paraId="5EF8748F" w14:textId="1F22F267" w:rsidR="00DC2238" w:rsidRPr="00581208" w:rsidRDefault="00DC2238" w:rsidP="00DC2238">
            <w:pPr>
              <w:spacing w:after="0"/>
              <w:jc w:val="center"/>
              <w:rPr>
                <w:rFonts w:eastAsia="Times New Roman"/>
                <w:b/>
                <w:bCs/>
                <w:color w:val="FFFFFF" w:themeColor="background1"/>
                <w:sz w:val="20"/>
                <w:lang w:eastAsia="en-GB"/>
              </w:rPr>
            </w:pPr>
            <w:r w:rsidRPr="00581208">
              <w:rPr>
                <w:rFonts w:eastAsia="Times New Roman"/>
                <w:b/>
                <w:bCs/>
                <w:color w:val="FFFFFF" w:themeColor="background1"/>
                <w:sz w:val="20"/>
                <w:lang w:eastAsia="en-GB"/>
              </w:rPr>
              <w:t>17,</w:t>
            </w:r>
            <w:r w:rsidR="00972545">
              <w:rPr>
                <w:rFonts w:eastAsia="Times New Roman"/>
                <w:b/>
                <w:bCs/>
                <w:color w:val="FFFFFF" w:themeColor="background1"/>
                <w:sz w:val="20"/>
                <w:lang w:eastAsia="en-GB"/>
              </w:rPr>
              <w:t>1</w:t>
            </w:r>
            <w:r w:rsidR="0081626E">
              <w:rPr>
                <w:rFonts w:eastAsia="Times New Roman"/>
                <w:b/>
                <w:bCs/>
                <w:color w:val="FFFFFF" w:themeColor="background1"/>
                <w:sz w:val="20"/>
                <w:lang w:eastAsia="en-GB"/>
              </w:rPr>
              <w:t>00</w:t>
            </w:r>
          </w:p>
        </w:tc>
        <w:tc>
          <w:tcPr>
            <w:tcW w:w="1065" w:type="pct"/>
            <w:tcBorders>
              <w:top w:val="nil"/>
              <w:left w:val="nil"/>
              <w:bottom w:val="single" w:sz="8" w:space="0" w:color="auto"/>
              <w:right w:val="single" w:sz="8" w:space="0" w:color="auto"/>
            </w:tcBorders>
            <w:shd w:val="clear" w:color="auto" w:fill="008C9B" w:themeFill="text2"/>
            <w:vAlign w:val="center"/>
            <w:hideMark/>
          </w:tcPr>
          <w:p w14:paraId="7C9C73E1" w14:textId="6974DD22" w:rsidR="00DC2238" w:rsidRPr="00581208" w:rsidRDefault="0081626E" w:rsidP="00DC2238">
            <w:pPr>
              <w:spacing w:after="0"/>
              <w:jc w:val="center"/>
              <w:rPr>
                <w:rFonts w:eastAsia="Times New Roman"/>
                <w:b/>
                <w:bCs/>
                <w:color w:val="FFFFFF" w:themeColor="background1"/>
                <w:sz w:val="20"/>
                <w:lang w:eastAsia="en-GB"/>
              </w:rPr>
            </w:pPr>
            <w:r>
              <w:rPr>
                <w:rFonts w:eastAsia="Times New Roman"/>
                <w:b/>
                <w:bCs/>
                <w:color w:val="FFFFFF" w:themeColor="background1"/>
                <w:sz w:val="20"/>
                <w:lang w:eastAsia="en-GB"/>
              </w:rPr>
              <w:t>5</w:t>
            </w:r>
            <w:r w:rsidR="00972545">
              <w:rPr>
                <w:rFonts w:eastAsia="Times New Roman"/>
                <w:b/>
                <w:bCs/>
                <w:color w:val="FFFFFF" w:themeColor="background1"/>
                <w:sz w:val="20"/>
                <w:lang w:eastAsia="en-GB"/>
              </w:rPr>
              <w:t>7</w:t>
            </w:r>
            <w:r>
              <w:rPr>
                <w:rFonts w:eastAsia="Times New Roman"/>
                <w:b/>
                <w:bCs/>
                <w:color w:val="FFFFFF" w:themeColor="background1"/>
                <w:sz w:val="20"/>
                <w:lang w:eastAsia="en-GB"/>
              </w:rPr>
              <w:t>,</w:t>
            </w:r>
            <w:r w:rsidR="00972545">
              <w:rPr>
                <w:rFonts w:eastAsia="Times New Roman"/>
                <w:b/>
                <w:bCs/>
                <w:color w:val="FFFFFF" w:themeColor="background1"/>
                <w:sz w:val="20"/>
                <w:lang w:eastAsia="en-GB"/>
              </w:rPr>
              <w:t>7</w:t>
            </w:r>
            <w:r>
              <w:rPr>
                <w:rFonts w:eastAsia="Times New Roman"/>
                <w:b/>
                <w:bCs/>
                <w:color w:val="FFFFFF" w:themeColor="background1"/>
                <w:sz w:val="20"/>
                <w:lang w:eastAsia="en-GB"/>
              </w:rPr>
              <w:t>00</w:t>
            </w:r>
          </w:p>
        </w:tc>
        <w:tc>
          <w:tcPr>
            <w:tcW w:w="740" w:type="pct"/>
            <w:tcBorders>
              <w:top w:val="nil"/>
              <w:left w:val="nil"/>
              <w:bottom w:val="single" w:sz="8" w:space="0" w:color="auto"/>
              <w:right w:val="single" w:sz="8" w:space="0" w:color="auto"/>
            </w:tcBorders>
            <w:shd w:val="clear" w:color="auto" w:fill="008C9B" w:themeFill="text2"/>
            <w:vAlign w:val="center"/>
            <w:hideMark/>
          </w:tcPr>
          <w:p w14:paraId="19166817" w14:textId="14DC5108" w:rsidR="00DC2238" w:rsidRPr="00581208" w:rsidRDefault="00DC2238" w:rsidP="00DC2238">
            <w:pPr>
              <w:spacing w:after="0"/>
              <w:jc w:val="center"/>
              <w:rPr>
                <w:rFonts w:eastAsia="Times New Roman"/>
                <w:b/>
                <w:bCs/>
                <w:color w:val="FFFFFF" w:themeColor="background1"/>
                <w:sz w:val="20"/>
                <w:lang w:eastAsia="en-GB"/>
              </w:rPr>
            </w:pPr>
            <w:r w:rsidRPr="00581208">
              <w:rPr>
                <w:rFonts w:eastAsia="Times New Roman"/>
                <w:b/>
                <w:bCs/>
                <w:color w:val="FFFFFF" w:themeColor="background1"/>
                <w:sz w:val="20"/>
                <w:lang w:eastAsia="en-GB"/>
              </w:rPr>
              <w:t>116,</w:t>
            </w:r>
            <w:r w:rsidR="00972545">
              <w:rPr>
                <w:rFonts w:eastAsia="Times New Roman"/>
                <w:b/>
                <w:bCs/>
                <w:color w:val="FFFFFF" w:themeColor="background1"/>
                <w:sz w:val="20"/>
                <w:lang w:eastAsia="en-GB"/>
              </w:rPr>
              <w:t>4</w:t>
            </w:r>
            <w:r w:rsidR="0081626E">
              <w:rPr>
                <w:rFonts w:eastAsia="Times New Roman"/>
                <w:b/>
                <w:bCs/>
                <w:color w:val="FFFFFF" w:themeColor="background1"/>
                <w:sz w:val="20"/>
                <w:lang w:eastAsia="en-GB"/>
              </w:rPr>
              <w:t>00</w:t>
            </w:r>
          </w:p>
        </w:tc>
      </w:tr>
    </w:tbl>
    <w:p w14:paraId="7E20E0F0" w14:textId="5995BA63" w:rsidR="00DC2238" w:rsidRPr="00015203" w:rsidRDefault="00B976CE" w:rsidP="00B976CE">
      <w:pPr>
        <w:spacing w:after="120" w:line="278" w:lineRule="auto"/>
        <w:jc w:val="right"/>
      </w:pPr>
      <w:r>
        <w:rPr>
          <w:color w:val="6D6E71" w:themeColor="accent3"/>
          <w:sz w:val="18"/>
          <w:szCs w:val="16"/>
        </w:rPr>
        <w:t>Source: Annual Population Survey, Cebr analysis</w:t>
      </w:r>
    </w:p>
    <w:p w14:paraId="091628EC" w14:textId="2DDAC62F" w:rsidR="00B26A0B" w:rsidRPr="00015203" w:rsidRDefault="00B26A0B" w:rsidP="00BA1EB8">
      <w:pPr>
        <w:spacing w:after="120" w:line="278" w:lineRule="auto"/>
        <w:jc w:val="both"/>
      </w:pPr>
      <w:r w:rsidRPr="00015203">
        <w:t>The far larger retrofit-adjacent workforce estimates reflect the broader focus applied to identifying occupations that could be redeployed into retrofitting. The primary relevance of these estimates</w:t>
      </w:r>
      <w:r w:rsidR="005029CB" w:rsidRPr="00015203">
        <w:t xml:space="preserve"> will be as a reference when considering redeployment of current Welsh workers as a solution to </w:t>
      </w:r>
      <w:r w:rsidR="0090110B">
        <w:t>the</w:t>
      </w:r>
      <w:r w:rsidR="0090110B" w:rsidRPr="00015203">
        <w:t xml:space="preserve"> </w:t>
      </w:r>
      <w:r w:rsidR="005029CB" w:rsidRPr="00015203">
        <w:t xml:space="preserve">workforce gap. </w:t>
      </w:r>
      <w:r w:rsidR="0090110B">
        <w:t>In turn, our analysis suggests</w:t>
      </w:r>
      <w:r w:rsidR="005029CB" w:rsidRPr="00015203">
        <w:t xml:space="preserve"> that </w:t>
      </w:r>
      <w:r w:rsidR="0081626E">
        <w:t>roughly 42,000</w:t>
      </w:r>
      <w:r w:rsidR="005029CB" w:rsidRPr="00015203">
        <w:t xml:space="preserve"> workers have the potential to be redeployed to the direct installation of home retrofit infrastructure</w:t>
      </w:r>
      <w:r w:rsidR="0081626E">
        <w:t>.</w:t>
      </w:r>
    </w:p>
    <w:p w14:paraId="7243423E" w14:textId="0350237A" w:rsidR="00AC54BF" w:rsidRPr="002A2B0D" w:rsidRDefault="000D37D8" w:rsidP="00DD6114">
      <w:pPr>
        <w:pStyle w:val="Heading1"/>
        <w:numPr>
          <w:ilvl w:val="0"/>
          <w:numId w:val="8"/>
        </w:numPr>
        <w:spacing w:after="120" w:line="278" w:lineRule="auto"/>
        <w:ind w:right="-4913"/>
        <w:rPr>
          <w:rFonts w:ascii="Helvetica Neue LT Std 65 Medium" w:hAnsi="Helvetica Neue LT Std 65 Medium"/>
          <w:bCs/>
        </w:rPr>
      </w:pPr>
      <w:bookmarkStart w:id="19" w:name="_Toc221182655"/>
      <w:r w:rsidRPr="002A2B0D">
        <w:rPr>
          <w:rFonts w:ascii="Helvetica Neue LT Std 65 Medium" w:hAnsi="Helvetica Neue LT Std 65 Medium"/>
          <w:bCs/>
        </w:rPr>
        <w:lastRenderedPageBreak/>
        <w:t xml:space="preserve">Labour </w:t>
      </w:r>
      <w:r w:rsidR="000352D4">
        <w:rPr>
          <w:rFonts w:ascii="Helvetica Neue LT Std 65 Medium" w:hAnsi="Helvetica Neue LT Std 65 Medium"/>
          <w:bCs/>
        </w:rPr>
        <w:t>d</w:t>
      </w:r>
      <w:r w:rsidRPr="002A2B0D">
        <w:rPr>
          <w:rFonts w:ascii="Helvetica Neue LT Std 65 Medium" w:hAnsi="Helvetica Neue LT Std 65 Medium"/>
          <w:bCs/>
        </w:rPr>
        <w:t>emand</w:t>
      </w:r>
      <w:bookmarkEnd w:id="19"/>
    </w:p>
    <w:p w14:paraId="0E677F25" w14:textId="47CDA03C" w:rsidR="00B377FF" w:rsidRDefault="00B377FF" w:rsidP="0029225D">
      <w:pPr>
        <w:pStyle w:val="Heading2"/>
        <w:spacing w:line="278" w:lineRule="auto"/>
      </w:pPr>
      <w:bookmarkStart w:id="20" w:name="_Toc221182656"/>
      <w:r>
        <w:t>The state of home retrofit in Wales 2025</w:t>
      </w:r>
      <w:bookmarkEnd w:id="20"/>
    </w:p>
    <w:p w14:paraId="4940BFC0" w14:textId="36BAD14E" w:rsidR="004C12D5" w:rsidRPr="0029225D" w:rsidRDefault="004C12D5" w:rsidP="003F6411">
      <w:pPr>
        <w:spacing w:after="120" w:line="278" w:lineRule="auto"/>
        <w:jc w:val="both"/>
        <w:rPr>
          <w:szCs w:val="4"/>
        </w:rPr>
      </w:pPr>
      <w:r>
        <w:rPr>
          <w:szCs w:val="4"/>
        </w:rPr>
        <w:t>The estimates for the total number of required retrofit measures in Wales</w:t>
      </w:r>
      <w:r w:rsidR="00FA1056">
        <w:rPr>
          <w:szCs w:val="4"/>
        </w:rPr>
        <w:t xml:space="preserve"> across the life of the </w:t>
      </w:r>
      <w:r w:rsidR="001C69B5">
        <w:rPr>
          <w:szCs w:val="4"/>
        </w:rPr>
        <w:t>Net Zero 2050 timeline</w:t>
      </w:r>
      <w:r>
        <w:rPr>
          <w:szCs w:val="4"/>
        </w:rPr>
        <w:t xml:space="preserve">, broken down by retrofit activity, are presented below. </w:t>
      </w:r>
      <w:r w:rsidR="00B976CE">
        <w:rPr>
          <w:szCs w:val="4"/>
        </w:rPr>
        <w:t xml:space="preserve">This </w:t>
      </w:r>
      <w:r w:rsidR="004A07EC">
        <w:rPr>
          <w:szCs w:val="4"/>
        </w:rPr>
        <w:t>considers</w:t>
      </w:r>
      <w:r w:rsidR="00B976CE">
        <w:rPr>
          <w:szCs w:val="4"/>
        </w:rPr>
        <w:t xml:space="preserve"> progress since the last WHCS was conducted, for the financial year 2017/18.</w:t>
      </w:r>
    </w:p>
    <w:p w14:paraId="3FF19DFB" w14:textId="1BE1AF5B" w:rsidR="00260922" w:rsidRDefault="00B976CE" w:rsidP="00B976CE">
      <w:pPr>
        <w:pStyle w:val="Caption"/>
      </w:pPr>
      <w:r w:rsidRPr="00B976CE">
        <w:rPr>
          <w:color w:val="6D6E71" w:themeColor="accent3"/>
          <w:sz w:val="18"/>
          <w:szCs w:val="14"/>
        </w:rPr>
        <w:t xml:space="preserve">Table </w:t>
      </w:r>
      <w:r w:rsidRPr="00B976CE">
        <w:rPr>
          <w:color w:val="6D6E71" w:themeColor="accent3"/>
          <w:sz w:val="18"/>
          <w:szCs w:val="14"/>
        </w:rPr>
        <w:fldChar w:fldCharType="begin"/>
      </w:r>
      <w:r w:rsidRPr="00B976CE">
        <w:rPr>
          <w:color w:val="6D6E71" w:themeColor="accent3"/>
          <w:sz w:val="18"/>
          <w:szCs w:val="14"/>
        </w:rPr>
        <w:instrText xml:space="preserve"> SEQ Table \* ARABIC </w:instrText>
      </w:r>
      <w:r w:rsidRPr="00B976CE">
        <w:rPr>
          <w:color w:val="6D6E71" w:themeColor="accent3"/>
          <w:sz w:val="18"/>
          <w:szCs w:val="14"/>
        </w:rPr>
        <w:fldChar w:fldCharType="separate"/>
      </w:r>
      <w:r w:rsidR="004775B5">
        <w:rPr>
          <w:noProof/>
          <w:color w:val="6D6E71" w:themeColor="accent3"/>
          <w:sz w:val="18"/>
          <w:szCs w:val="14"/>
        </w:rPr>
        <w:t>5</w:t>
      </w:r>
      <w:r w:rsidRPr="00B976CE">
        <w:rPr>
          <w:color w:val="6D6E71" w:themeColor="accent3"/>
          <w:sz w:val="18"/>
          <w:szCs w:val="14"/>
        </w:rPr>
        <w:fldChar w:fldCharType="end"/>
      </w:r>
      <w:r w:rsidRPr="00B976CE">
        <w:rPr>
          <w:color w:val="6D6E71" w:themeColor="accent3"/>
          <w:sz w:val="18"/>
          <w:szCs w:val="14"/>
        </w:rPr>
        <w:t xml:space="preserve">: </w:t>
      </w:r>
      <w:r w:rsidR="00260922">
        <w:rPr>
          <w:color w:val="6D6E71" w:themeColor="accent3"/>
          <w:sz w:val="18"/>
        </w:rPr>
        <w:t>Total scale of homes requiring retrofitting broken down by retrofit activity</w:t>
      </w:r>
      <w:r>
        <w:rPr>
          <w:color w:val="6D6E71" w:themeColor="accent3"/>
          <w:sz w:val="18"/>
        </w:rPr>
        <w:t xml:space="preserve"> </w:t>
      </w:r>
      <w:r w:rsidRPr="00B976CE">
        <w:rPr>
          <w:color w:val="6D6E71" w:themeColor="accent3"/>
          <w:sz w:val="18"/>
        </w:rPr>
        <w:t>(rounded to nearest 100</w:t>
      </w:r>
      <w:r>
        <w:rPr>
          <w:color w:val="6D6E71" w:themeColor="accent3"/>
          <w:sz w:val="18"/>
        </w:rPr>
        <w:t>0</w:t>
      </w:r>
      <w:r w:rsidRPr="00B976CE">
        <w:rPr>
          <w:color w:val="6D6E71" w:themeColor="accent3"/>
          <w:sz w:val="18"/>
        </w:rPr>
        <w:t>s</w:t>
      </w:r>
      <w:r>
        <w:rPr>
          <w:color w:val="6D6E71" w:themeColor="accent3"/>
          <w:sz w:val="18"/>
        </w:rPr>
        <w:t>)</w:t>
      </w:r>
    </w:p>
    <w:tbl>
      <w:tblPr>
        <w:tblW w:w="5000" w:type="pct"/>
        <w:jc w:val="center"/>
        <w:tblLook w:val="04A0" w:firstRow="1" w:lastRow="0" w:firstColumn="1" w:lastColumn="0" w:noHBand="0" w:noVBand="1"/>
        <w:tblCaption w:val="able 5: Total scale of homes requiring retrofitting broken down by retrofit activity (rounded to nearest 1000s)"/>
        <w:tblDescription w:val="Table showing the estimated number of homes in Wales requiring retrofit by activity type by 2050, including fabric and insulation, glazing, heating systems, damp and ventilation, low-energy lighting, and loft insulation."/>
      </w:tblPr>
      <w:tblGrid>
        <w:gridCol w:w="4361"/>
        <w:gridCol w:w="4669"/>
      </w:tblGrid>
      <w:tr w:rsidR="00C523D5" w:rsidRPr="0029225D" w14:paraId="1B1040AB" w14:textId="77777777" w:rsidTr="007247D2">
        <w:trPr>
          <w:trHeight w:val="590"/>
          <w:jc w:val="center"/>
        </w:trPr>
        <w:tc>
          <w:tcPr>
            <w:tcW w:w="2415" w:type="pct"/>
            <w:tcBorders>
              <w:top w:val="single" w:sz="8" w:space="0" w:color="auto"/>
              <w:left w:val="single" w:sz="8" w:space="0" w:color="auto"/>
              <w:bottom w:val="single" w:sz="8" w:space="0" w:color="auto"/>
              <w:right w:val="single" w:sz="8" w:space="0" w:color="auto"/>
            </w:tcBorders>
            <w:shd w:val="clear" w:color="000000" w:fill="00464D"/>
            <w:vAlign w:val="center"/>
            <w:hideMark/>
          </w:tcPr>
          <w:p w14:paraId="56244B27" w14:textId="6220D1A9" w:rsidR="00C523D5" w:rsidRPr="000D19E4" w:rsidRDefault="00C523D5" w:rsidP="007247D2">
            <w:pPr>
              <w:spacing w:after="0"/>
              <w:jc w:val="center"/>
              <w:rPr>
                <w:rFonts w:eastAsia="Times New Roman" w:cs="Calibri"/>
                <w:b/>
                <w:bCs/>
                <w:color w:val="FFFFFF"/>
                <w:sz w:val="20"/>
                <w:lang w:eastAsia="en-GB"/>
              </w:rPr>
            </w:pPr>
            <w:r w:rsidRPr="000D19E4">
              <w:rPr>
                <w:rFonts w:eastAsia="Times New Roman" w:cs="Calibri"/>
                <w:b/>
                <w:bCs/>
                <w:color w:val="FFFFFF"/>
                <w:sz w:val="20"/>
                <w:lang w:eastAsia="en-GB"/>
              </w:rPr>
              <w:t xml:space="preserve">Type of </w:t>
            </w:r>
            <w:r w:rsidR="007247D2" w:rsidRPr="000D19E4">
              <w:rPr>
                <w:rFonts w:eastAsia="Times New Roman" w:cs="Calibri"/>
                <w:b/>
                <w:bCs/>
                <w:color w:val="FFFFFF"/>
                <w:sz w:val="20"/>
                <w:lang w:eastAsia="en-GB"/>
              </w:rPr>
              <w:t>r</w:t>
            </w:r>
            <w:r w:rsidRPr="000D19E4">
              <w:rPr>
                <w:rFonts w:eastAsia="Times New Roman" w:cs="Calibri"/>
                <w:b/>
                <w:bCs/>
                <w:color w:val="FFFFFF"/>
                <w:sz w:val="20"/>
                <w:lang w:eastAsia="en-GB"/>
              </w:rPr>
              <w:t xml:space="preserve">etrofit </w:t>
            </w:r>
            <w:r w:rsidR="007247D2" w:rsidRPr="000D19E4">
              <w:rPr>
                <w:rFonts w:eastAsia="Times New Roman" w:cs="Calibri"/>
                <w:b/>
                <w:bCs/>
                <w:color w:val="FFFFFF"/>
                <w:sz w:val="20"/>
                <w:lang w:eastAsia="en-GB"/>
              </w:rPr>
              <w:t>a</w:t>
            </w:r>
            <w:r w:rsidRPr="000D19E4">
              <w:rPr>
                <w:rFonts w:eastAsia="Times New Roman" w:cs="Calibri"/>
                <w:b/>
                <w:bCs/>
                <w:color w:val="FFFFFF"/>
                <w:sz w:val="20"/>
                <w:lang w:eastAsia="en-GB"/>
              </w:rPr>
              <w:t>ctivity</w:t>
            </w:r>
          </w:p>
        </w:tc>
        <w:tc>
          <w:tcPr>
            <w:tcW w:w="2585" w:type="pct"/>
            <w:tcBorders>
              <w:top w:val="single" w:sz="8" w:space="0" w:color="auto"/>
              <w:left w:val="nil"/>
              <w:bottom w:val="single" w:sz="8" w:space="0" w:color="auto"/>
              <w:right w:val="single" w:sz="8" w:space="0" w:color="auto"/>
            </w:tcBorders>
            <w:shd w:val="clear" w:color="000000" w:fill="00464D"/>
            <w:vAlign w:val="center"/>
            <w:hideMark/>
          </w:tcPr>
          <w:p w14:paraId="4963F73A" w14:textId="01844662" w:rsidR="00C523D5" w:rsidRPr="000D19E4" w:rsidRDefault="00C523D5" w:rsidP="007247D2">
            <w:pPr>
              <w:spacing w:after="0"/>
              <w:jc w:val="center"/>
              <w:rPr>
                <w:rFonts w:eastAsia="Times New Roman" w:cs="Calibri"/>
                <w:b/>
                <w:bCs/>
                <w:color w:val="FFFFFF"/>
                <w:sz w:val="20"/>
                <w:lang w:eastAsia="en-GB"/>
              </w:rPr>
            </w:pPr>
            <w:r w:rsidRPr="000D19E4">
              <w:rPr>
                <w:rFonts w:eastAsia="Times New Roman" w:cs="Calibri"/>
                <w:b/>
                <w:bCs/>
                <w:color w:val="FFFFFF"/>
                <w:sz w:val="20"/>
                <w:lang w:eastAsia="en-GB"/>
              </w:rPr>
              <w:t xml:space="preserve">Total </w:t>
            </w:r>
            <w:r w:rsidR="004C12D5" w:rsidRPr="000D19E4">
              <w:rPr>
                <w:rFonts w:eastAsia="Times New Roman" w:cs="Calibri"/>
                <w:b/>
                <w:bCs/>
                <w:color w:val="FFFFFF"/>
                <w:sz w:val="20"/>
                <w:lang w:eastAsia="en-GB"/>
              </w:rPr>
              <w:t>required retrofit installations</w:t>
            </w:r>
            <w:r w:rsidR="00FD73EA">
              <w:rPr>
                <w:rFonts w:eastAsia="Times New Roman" w:cs="Calibri"/>
                <w:b/>
                <w:bCs/>
                <w:color w:val="FFFFFF"/>
                <w:sz w:val="20"/>
                <w:lang w:eastAsia="en-GB"/>
              </w:rPr>
              <w:t xml:space="preserve"> by 20</w:t>
            </w:r>
            <w:r w:rsidR="00823448">
              <w:rPr>
                <w:rFonts w:eastAsia="Times New Roman" w:cs="Calibri"/>
                <w:b/>
                <w:bCs/>
                <w:color w:val="FFFFFF"/>
                <w:sz w:val="20"/>
                <w:lang w:eastAsia="en-GB"/>
              </w:rPr>
              <w:t>50</w:t>
            </w:r>
          </w:p>
        </w:tc>
      </w:tr>
      <w:tr w:rsidR="000A48B9" w:rsidRPr="0029225D" w14:paraId="3849B2F5" w14:textId="77777777" w:rsidTr="007247D2">
        <w:trPr>
          <w:trHeight w:val="300"/>
          <w:jc w:val="center"/>
        </w:trPr>
        <w:tc>
          <w:tcPr>
            <w:tcW w:w="2415" w:type="pct"/>
            <w:tcBorders>
              <w:top w:val="nil"/>
              <w:left w:val="single" w:sz="8" w:space="0" w:color="auto"/>
              <w:bottom w:val="single" w:sz="8" w:space="0" w:color="auto"/>
              <w:right w:val="single" w:sz="8" w:space="0" w:color="auto"/>
            </w:tcBorders>
            <w:shd w:val="clear" w:color="000000" w:fill="FFFFFF"/>
            <w:vAlign w:val="center"/>
            <w:hideMark/>
          </w:tcPr>
          <w:p w14:paraId="598D965E" w14:textId="77777777" w:rsidR="000A48B9" w:rsidRPr="000D19E4" w:rsidRDefault="000A48B9" w:rsidP="000A48B9">
            <w:pPr>
              <w:spacing w:after="0"/>
              <w:jc w:val="center"/>
              <w:rPr>
                <w:rFonts w:eastAsia="Times New Roman"/>
                <w:color w:val="000000"/>
                <w:sz w:val="20"/>
                <w:lang w:eastAsia="en-GB"/>
              </w:rPr>
            </w:pPr>
            <w:r w:rsidRPr="000D19E4">
              <w:rPr>
                <w:rFonts w:eastAsia="Times New Roman"/>
                <w:color w:val="000000"/>
                <w:sz w:val="20"/>
                <w:lang w:eastAsia="en-GB"/>
              </w:rPr>
              <w:t>Fabric and insulation</w:t>
            </w:r>
          </w:p>
        </w:tc>
        <w:tc>
          <w:tcPr>
            <w:tcW w:w="2585" w:type="pct"/>
            <w:tcBorders>
              <w:top w:val="nil"/>
              <w:left w:val="nil"/>
              <w:bottom w:val="single" w:sz="8" w:space="0" w:color="auto"/>
              <w:right w:val="single" w:sz="8" w:space="0" w:color="auto"/>
            </w:tcBorders>
            <w:shd w:val="clear" w:color="000000" w:fill="FFFFFF"/>
            <w:vAlign w:val="center"/>
            <w:hideMark/>
          </w:tcPr>
          <w:p w14:paraId="27CE8178" w14:textId="2C739B25" w:rsidR="000A48B9" w:rsidRPr="000D19E4" w:rsidRDefault="000A48B9" w:rsidP="000A48B9">
            <w:pPr>
              <w:spacing w:after="0"/>
              <w:jc w:val="center"/>
              <w:rPr>
                <w:rFonts w:eastAsia="Times New Roman"/>
                <w:color w:val="000000"/>
                <w:sz w:val="20"/>
                <w:lang w:eastAsia="en-GB"/>
              </w:rPr>
            </w:pPr>
            <w:r w:rsidRPr="000D19E4">
              <w:rPr>
                <w:rFonts w:cs="Arial"/>
                <w:color w:val="000000"/>
                <w:sz w:val="20"/>
              </w:rPr>
              <w:t>538,000</w:t>
            </w:r>
          </w:p>
        </w:tc>
      </w:tr>
      <w:tr w:rsidR="000A48B9" w:rsidRPr="0029225D" w14:paraId="5F97A130" w14:textId="77777777" w:rsidTr="007247D2">
        <w:trPr>
          <w:trHeight w:val="300"/>
          <w:jc w:val="center"/>
        </w:trPr>
        <w:tc>
          <w:tcPr>
            <w:tcW w:w="2415" w:type="pct"/>
            <w:tcBorders>
              <w:top w:val="nil"/>
              <w:left w:val="single" w:sz="8" w:space="0" w:color="auto"/>
              <w:bottom w:val="single" w:sz="8" w:space="0" w:color="auto"/>
              <w:right w:val="single" w:sz="8" w:space="0" w:color="auto"/>
            </w:tcBorders>
            <w:shd w:val="clear" w:color="000000" w:fill="FFFFFF"/>
            <w:vAlign w:val="center"/>
            <w:hideMark/>
          </w:tcPr>
          <w:p w14:paraId="7E633D16" w14:textId="77777777" w:rsidR="000A48B9" w:rsidRPr="000D19E4" w:rsidRDefault="000A48B9" w:rsidP="000A48B9">
            <w:pPr>
              <w:spacing w:after="0"/>
              <w:jc w:val="center"/>
              <w:rPr>
                <w:rFonts w:eastAsia="Times New Roman"/>
                <w:color w:val="000000"/>
                <w:sz w:val="20"/>
                <w:lang w:eastAsia="en-GB"/>
              </w:rPr>
            </w:pPr>
            <w:r w:rsidRPr="000D19E4">
              <w:rPr>
                <w:rFonts w:eastAsia="Times New Roman"/>
                <w:color w:val="000000"/>
                <w:sz w:val="20"/>
                <w:lang w:eastAsia="en-GB"/>
              </w:rPr>
              <w:t>Glazing</w:t>
            </w:r>
          </w:p>
        </w:tc>
        <w:tc>
          <w:tcPr>
            <w:tcW w:w="2585" w:type="pct"/>
            <w:tcBorders>
              <w:top w:val="nil"/>
              <w:left w:val="nil"/>
              <w:bottom w:val="single" w:sz="8" w:space="0" w:color="auto"/>
              <w:right w:val="single" w:sz="8" w:space="0" w:color="auto"/>
            </w:tcBorders>
            <w:shd w:val="clear" w:color="000000" w:fill="FFFFFF"/>
            <w:vAlign w:val="center"/>
            <w:hideMark/>
          </w:tcPr>
          <w:p w14:paraId="402B7E43" w14:textId="0FAA8ED5" w:rsidR="000A48B9" w:rsidRPr="000D19E4" w:rsidRDefault="000A48B9" w:rsidP="000A48B9">
            <w:pPr>
              <w:spacing w:after="0"/>
              <w:jc w:val="center"/>
              <w:rPr>
                <w:rFonts w:eastAsia="Times New Roman"/>
                <w:color w:val="000000"/>
                <w:sz w:val="20"/>
                <w:lang w:eastAsia="en-GB"/>
              </w:rPr>
            </w:pPr>
            <w:r w:rsidRPr="000D19E4">
              <w:rPr>
                <w:rFonts w:cs="Arial"/>
                <w:color w:val="000000"/>
                <w:sz w:val="20"/>
              </w:rPr>
              <w:t>140,000</w:t>
            </w:r>
          </w:p>
        </w:tc>
      </w:tr>
      <w:tr w:rsidR="000A48B9" w:rsidRPr="0029225D" w14:paraId="113BE62B" w14:textId="77777777" w:rsidTr="007247D2">
        <w:trPr>
          <w:trHeight w:val="300"/>
          <w:jc w:val="center"/>
        </w:trPr>
        <w:tc>
          <w:tcPr>
            <w:tcW w:w="2415" w:type="pct"/>
            <w:tcBorders>
              <w:top w:val="nil"/>
              <w:left w:val="single" w:sz="8" w:space="0" w:color="auto"/>
              <w:bottom w:val="single" w:sz="8" w:space="0" w:color="auto"/>
              <w:right w:val="single" w:sz="8" w:space="0" w:color="auto"/>
            </w:tcBorders>
            <w:shd w:val="clear" w:color="000000" w:fill="FFFFFF"/>
            <w:vAlign w:val="center"/>
            <w:hideMark/>
          </w:tcPr>
          <w:p w14:paraId="570F87E7" w14:textId="77777777" w:rsidR="000A48B9" w:rsidRPr="000D19E4" w:rsidRDefault="000A48B9" w:rsidP="000A48B9">
            <w:pPr>
              <w:spacing w:after="0"/>
              <w:jc w:val="center"/>
              <w:rPr>
                <w:rFonts w:eastAsia="Times New Roman"/>
                <w:color w:val="000000"/>
                <w:sz w:val="20"/>
                <w:lang w:eastAsia="en-GB"/>
              </w:rPr>
            </w:pPr>
            <w:r w:rsidRPr="000D19E4">
              <w:rPr>
                <w:rFonts w:eastAsia="Times New Roman"/>
                <w:color w:val="000000"/>
                <w:sz w:val="20"/>
                <w:lang w:eastAsia="en-GB"/>
              </w:rPr>
              <w:t>Heating systems</w:t>
            </w:r>
          </w:p>
        </w:tc>
        <w:tc>
          <w:tcPr>
            <w:tcW w:w="2585" w:type="pct"/>
            <w:tcBorders>
              <w:top w:val="nil"/>
              <w:left w:val="nil"/>
              <w:bottom w:val="single" w:sz="8" w:space="0" w:color="auto"/>
              <w:right w:val="single" w:sz="8" w:space="0" w:color="auto"/>
            </w:tcBorders>
            <w:shd w:val="clear" w:color="000000" w:fill="FFFFFF"/>
            <w:vAlign w:val="center"/>
            <w:hideMark/>
          </w:tcPr>
          <w:p w14:paraId="09DD7E1D" w14:textId="462BA97C" w:rsidR="000A48B9" w:rsidRPr="000D19E4" w:rsidRDefault="000A48B9" w:rsidP="000A48B9">
            <w:pPr>
              <w:spacing w:after="0"/>
              <w:jc w:val="center"/>
              <w:rPr>
                <w:rFonts w:eastAsia="Times New Roman"/>
                <w:color w:val="000000"/>
                <w:sz w:val="20"/>
                <w:lang w:eastAsia="en-GB"/>
              </w:rPr>
            </w:pPr>
            <w:r w:rsidRPr="000D19E4">
              <w:rPr>
                <w:rFonts w:cs="Arial"/>
                <w:color w:val="000000"/>
                <w:sz w:val="20"/>
              </w:rPr>
              <w:t>1,315,000</w:t>
            </w:r>
          </w:p>
        </w:tc>
      </w:tr>
      <w:tr w:rsidR="000A48B9" w:rsidRPr="0029225D" w14:paraId="1C13F435" w14:textId="77777777" w:rsidTr="007247D2">
        <w:trPr>
          <w:trHeight w:val="300"/>
          <w:jc w:val="center"/>
        </w:trPr>
        <w:tc>
          <w:tcPr>
            <w:tcW w:w="2415" w:type="pct"/>
            <w:tcBorders>
              <w:top w:val="nil"/>
              <w:left w:val="single" w:sz="8" w:space="0" w:color="auto"/>
              <w:bottom w:val="single" w:sz="8" w:space="0" w:color="auto"/>
              <w:right w:val="single" w:sz="8" w:space="0" w:color="auto"/>
            </w:tcBorders>
            <w:shd w:val="clear" w:color="000000" w:fill="FFFFFF"/>
            <w:vAlign w:val="center"/>
            <w:hideMark/>
          </w:tcPr>
          <w:p w14:paraId="41F9CBF9" w14:textId="77777777" w:rsidR="000A48B9" w:rsidRPr="000D19E4" w:rsidRDefault="000A48B9" w:rsidP="000A48B9">
            <w:pPr>
              <w:spacing w:after="0"/>
              <w:jc w:val="center"/>
              <w:rPr>
                <w:rFonts w:eastAsia="Times New Roman"/>
                <w:color w:val="000000"/>
                <w:sz w:val="20"/>
                <w:lang w:eastAsia="en-GB"/>
              </w:rPr>
            </w:pPr>
            <w:r w:rsidRPr="000D19E4">
              <w:rPr>
                <w:rFonts w:eastAsia="Times New Roman"/>
                <w:color w:val="000000"/>
                <w:sz w:val="20"/>
                <w:lang w:eastAsia="en-GB"/>
              </w:rPr>
              <w:t>Damp and ventilation</w:t>
            </w:r>
          </w:p>
        </w:tc>
        <w:tc>
          <w:tcPr>
            <w:tcW w:w="2585" w:type="pct"/>
            <w:tcBorders>
              <w:top w:val="nil"/>
              <w:left w:val="nil"/>
              <w:bottom w:val="single" w:sz="8" w:space="0" w:color="auto"/>
              <w:right w:val="single" w:sz="8" w:space="0" w:color="auto"/>
            </w:tcBorders>
            <w:shd w:val="clear" w:color="000000" w:fill="FFFFFF"/>
            <w:vAlign w:val="center"/>
            <w:hideMark/>
          </w:tcPr>
          <w:p w14:paraId="2712ECD2" w14:textId="0C986A84" w:rsidR="000A48B9" w:rsidRPr="000D19E4" w:rsidRDefault="000A48B9" w:rsidP="000A48B9">
            <w:pPr>
              <w:spacing w:after="0"/>
              <w:jc w:val="center"/>
              <w:rPr>
                <w:rFonts w:eastAsia="Times New Roman"/>
                <w:color w:val="000000"/>
                <w:sz w:val="20"/>
                <w:lang w:eastAsia="en-GB"/>
              </w:rPr>
            </w:pPr>
            <w:r w:rsidRPr="000D19E4">
              <w:rPr>
                <w:rFonts w:cs="Arial"/>
                <w:color w:val="000000"/>
                <w:sz w:val="20"/>
              </w:rPr>
              <w:t>81,000</w:t>
            </w:r>
          </w:p>
        </w:tc>
      </w:tr>
      <w:tr w:rsidR="000A48B9" w:rsidRPr="0029225D" w14:paraId="49A9E416" w14:textId="77777777" w:rsidTr="007247D2">
        <w:trPr>
          <w:trHeight w:val="300"/>
          <w:jc w:val="center"/>
        </w:trPr>
        <w:tc>
          <w:tcPr>
            <w:tcW w:w="2415" w:type="pct"/>
            <w:tcBorders>
              <w:top w:val="nil"/>
              <w:left w:val="single" w:sz="8" w:space="0" w:color="auto"/>
              <w:bottom w:val="single" w:sz="8" w:space="0" w:color="auto"/>
              <w:right w:val="single" w:sz="8" w:space="0" w:color="auto"/>
            </w:tcBorders>
            <w:shd w:val="clear" w:color="000000" w:fill="FFFFFF"/>
            <w:vAlign w:val="center"/>
            <w:hideMark/>
          </w:tcPr>
          <w:p w14:paraId="448C4668" w14:textId="77777777" w:rsidR="000A48B9" w:rsidRPr="000D19E4" w:rsidRDefault="000A48B9" w:rsidP="000A48B9">
            <w:pPr>
              <w:spacing w:after="0"/>
              <w:jc w:val="center"/>
              <w:rPr>
                <w:rFonts w:eastAsia="Times New Roman"/>
                <w:color w:val="000000"/>
                <w:sz w:val="20"/>
                <w:lang w:eastAsia="en-GB"/>
              </w:rPr>
            </w:pPr>
            <w:r w:rsidRPr="000D19E4">
              <w:rPr>
                <w:rFonts w:eastAsia="Times New Roman"/>
                <w:color w:val="000000"/>
                <w:sz w:val="20"/>
                <w:lang w:eastAsia="en-GB"/>
              </w:rPr>
              <w:t>Low-energy lighting</w:t>
            </w:r>
          </w:p>
        </w:tc>
        <w:tc>
          <w:tcPr>
            <w:tcW w:w="2585" w:type="pct"/>
            <w:tcBorders>
              <w:top w:val="nil"/>
              <w:left w:val="nil"/>
              <w:bottom w:val="single" w:sz="8" w:space="0" w:color="auto"/>
              <w:right w:val="single" w:sz="8" w:space="0" w:color="auto"/>
            </w:tcBorders>
            <w:shd w:val="clear" w:color="000000" w:fill="FFFFFF"/>
            <w:vAlign w:val="center"/>
            <w:hideMark/>
          </w:tcPr>
          <w:p w14:paraId="5475E39D" w14:textId="4B15D43B" w:rsidR="000A48B9" w:rsidRPr="000D19E4" w:rsidRDefault="000A48B9" w:rsidP="000A48B9">
            <w:pPr>
              <w:spacing w:after="0"/>
              <w:jc w:val="center"/>
              <w:rPr>
                <w:rFonts w:eastAsia="Times New Roman"/>
                <w:color w:val="000000"/>
                <w:sz w:val="20"/>
                <w:lang w:eastAsia="en-GB"/>
              </w:rPr>
            </w:pPr>
            <w:r w:rsidRPr="000D19E4">
              <w:rPr>
                <w:rFonts w:cs="Arial"/>
                <w:color w:val="000000"/>
                <w:sz w:val="20"/>
              </w:rPr>
              <w:t>883,000</w:t>
            </w:r>
          </w:p>
        </w:tc>
      </w:tr>
      <w:tr w:rsidR="000A48B9" w:rsidRPr="0029225D" w14:paraId="7E5C8406" w14:textId="77777777" w:rsidTr="007247D2">
        <w:trPr>
          <w:trHeight w:val="300"/>
          <w:jc w:val="center"/>
        </w:trPr>
        <w:tc>
          <w:tcPr>
            <w:tcW w:w="2415" w:type="pct"/>
            <w:tcBorders>
              <w:top w:val="nil"/>
              <w:left w:val="single" w:sz="8" w:space="0" w:color="auto"/>
              <w:bottom w:val="single" w:sz="8" w:space="0" w:color="auto"/>
              <w:right w:val="single" w:sz="8" w:space="0" w:color="auto"/>
            </w:tcBorders>
            <w:shd w:val="clear" w:color="000000" w:fill="FFFFFF"/>
            <w:vAlign w:val="center"/>
            <w:hideMark/>
          </w:tcPr>
          <w:p w14:paraId="15A008F8" w14:textId="77777777" w:rsidR="000A48B9" w:rsidRPr="000D19E4" w:rsidRDefault="000A48B9" w:rsidP="000A48B9">
            <w:pPr>
              <w:spacing w:after="0"/>
              <w:jc w:val="center"/>
              <w:rPr>
                <w:rFonts w:eastAsia="Times New Roman"/>
                <w:color w:val="000000"/>
                <w:sz w:val="20"/>
                <w:lang w:eastAsia="en-GB"/>
              </w:rPr>
            </w:pPr>
            <w:r w:rsidRPr="000D19E4">
              <w:rPr>
                <w:rFonts w:eastAsia="Times New Roman"/>
                <w:color w:val="000000"/>
                <w:sz w:val="20"/>
                <w:lang w:eastAsia="en-GB"/>
              </w:rPr>
              <w:t>Loft insulation</w:t>
            </w:r>
          </w:p>
        </w:tc>
        <w:tc>
          <w:tcPr>
            <w:tcW w:w="2585" w:type="pct"/>
            <w:tcBorders>
              <w:top w:val="nil"/>
              <w:left w:val="nil"/>
              <w:bottom w:val="single" w:sz="8" w:space="0" w:color="auto"/>
              <w:right w:val="single" w:sz="8" w:space="0" w:color="auto"/>
            </w:tcBorders>
            <w:shd w:val="clear" w:color="000000" w:fill="FFFFFF"/>
            <w:vAlign w:val="center"/>
            <w:hideMark/>
          </w:tcPr>
          <w:p w14:paraId="3784D7EE" w14:textId="6A4774AF" w:rsidR="000A48B9" w:rsidRPr="000D19E4" w:rsidRDefault="000A48B9" w:rsidP="000A48B9">
            <w:pPr>
              <w:spacing w:after="0"/>
              <w:jc w:val="center"/>
              <w:rPr>
                <w:rFonts w:eastAsia="Times New Roman"/>
                <w:color w:val="000000"/>
                <w:sz w:val="20"/>
                <w:lang w:eastAsia="en-GB"/>
              </w:rPr>
            </w:pPr>
            <w:r w:rsidRPr="000D19E4">
              <w:rPr>
                <w:rFonts w:cs="Arial"/>
                <w:color w:val="000000"/>
                <w:sz w:val="20"/>
              </w:rPr>
              <w:t>656,000</w:t>
            </w:r>
          </w:p>
        </w:tc>
      </w:tr>
    </w:tbl>
    <w:p w14:paraId="492AFEE2" w14:textId="44D0E087" w:rsidR="002E22A1" w:rsidRDefault="00B976CE" w:rsidP="00B976CE">
      <w:pPr>
        <w:spacing w:after="120" w:line="278" w:lineRule="auto"/>
        <w:jc w:val="right"/>
        <w:rPr>
          <w:szCs w:val="4"/>
        </w:rPr>
      </w:pPr>
      <w:r>
        <w:rPr>
          <w:color w:val="6D6E71" w:themeColor="accent3"/>
          <w:sz w:val="18"/>
          <w:szCs w:val="16"/>
        </w:rPr>
        <w:t>Source: Welsh Housing Conditions Survey 2017/18, Cebr analysis</w:t>
      </w:r>
    </w:p>
    <w:p w14:paraId="413A657E" w14:textId="11A3DB09" w:rsidR="000A48B9" w:rsidRDefault="000A48B9" w:rsidP="000A48B9">
      <w:pPr>
        <w:spacing w:after="120" w:line="278" w:lineRule="auto"/>
        <w:jc w:val="both"/>
      </w:pPr>
      <w:r w:rsidRPr="00411BA1">
        <w:rPr>
          <w:szCs w:val="4"/>
        </w:rPr>
        <w:t>Heating system upgrades account primarily for the installation of air-</w:t>
      </w:r>
      <w:r>
        <w:rPr>
          <w:szCs w:val="4"/>
        </w:rPr>
        <w:t xml:space="preserve"> and ground-source</w:t>
      </w:r>
      <w:r w:rsidRPr="00411BA1">
        <w:rPr>
          <w:szCs w:val="4"/>
        </w:rPr>
        <w:t xml:space="preserve"> heat pumps as primary heating systems. </w:t>
      </w:r>
      <w:r w:rsidRPr="00411BA1">
        <w:t xml:space="preserve">An estimated 1.3 million homes in Wales currently do not have </w:t>
      </w:r>
      <w:r>
        <w:t xml:space="preserve">a </w:t>
      </w:r>
      <w:r w:rsidRPr="00411BA1">
        <w:t xml:space="preserve">heat pump and thus require retrofitting with a </w:t>
      </w:r>
      <w:r w:rsidR="008879A5">
        <w:t>LCHS</w:t>
      </w:r>
      <w:r>
        <w:t xml:space="preserve"> </w:t>
      </w:r>
      <w:r w:rsidR="00823448">
        <w:t xml:space="preserve">by 2050 </w:t>
      </w:r>
      <w:r>
        <w:t>under the given criteria on page 1</w:t>
      </w:r>
      <w:r w:rsidR="008879A5">
        <w:t>4</w:t>
      </w:r>
      <w:r w:rsidRPr="00411BA1">
        <w:t xml:space="preserve">. </w:t>
      </w:r>
    </w:p>
    <w:p w14:paraId="66C748C5" w14:textId="5C90FCAD" w:rsidR="000A48B9" w:rsidRPr="00D71B47" w:rsidRDefault="000A48B9" w:rsidP="000A48B9">
      <w:pPr>
        <w:spacing w:after="120" w:line="278" w:lineRule="auto"/>
        <w:jc w:val="both"/>
        <w:rPr>
          <w:szCs w:val="4"/>
        </w:rPr>
      </w:pPr>
      <w:r w:rsidRPr="00411BA1">
        <w:t>Additionally, a large number of homes still require the installation of insulation, with roughly 5</w:t>
      </w:r>
      <w:r>
        <w:t>38</w:t>
      </w:r>
      <w:r w:rsidRPr="00411BA1">
        <w:t>,000 estimated to require installation in either solid or cavity walls. Details from the microdata align with the intuition that these homes are disproportionately old builds, often pre-1919; no homes built past 2002 in the WHCS were deemed to require solid or cavity wall insulation. Loft insulation, where a thickness below 200mm is deemed to require retrofitting, is a requirement for a larger number of households, including newer builds.</w:t>
      </w:r>
    </w:p>
    <w:p w14:paraId="063FA17C" w14:textId="77777777" w:rsidR="000A48B9" w:rsidRPr="00411BA1" w:rsidRDefault="000A48B9" w:rsidP="000A48B9">
      <w:pPr>
        <w:spacing w:after="120" w:line="278" w:lineRule="auto"/>
        <w:jc w:val="both"/>
        <w:rPr>
          <w:szCs w:val="4"/>
        </w:rPr>
      </w:pPr>
      <w:r w:rsidRPr="00411BA1">
        <w:rPr>
          <w:szCs w:val="4"/>
        </w:rPr>
        <w:t>Damp and ventilation related retrofits account for a far smaller proportion of the approximately 1.</w:t>
      </w:r>
      <w:r>
        <w:rPr>
          <w:szCs w:val="4"/>
        </w:rPr>
        <w:t>3</w:t>
      </w:r>
      <w:r w:rsidRPr="00411BA1">
        <w:rPr>
          <w:szCs w:val="4"/>
        </w:rPr>
        <w:t xml:space="preserve"> million </w:t>
      </w:r>
      <w:r>
        <w:rPr>
          <w:szCs w:val="4"/>
        </w:rPr>
        <w:t xml:space="preserve">occupied </w:t>
      </w:r>
      <w:r w:rsidRPr="00411BA1">
        <w:rPr>
          <w:szCs w:val="4"/>
        </w:rPr>
        <w:t>homes in Wales (8</w:t>
      </w:r>
      <w:r>
        <w:rPr>
          <w:szCs w:val="4"/>
        </w:rPr>
        <w:t>1</w:t>
      </w:r>
      <w:r w:rsidRPr="00411BA1">
        <w:rPr>
          <w:szCs w:val="4"/>
        </w:rPr>
        <w:t xml:space="preserve">,000), as does the installation of full double </w:t>
      </w:r>
      <w:r>
        <w:rPr>
          <w:szCs w:val="4"/>
        </w:rPr>
        <w:t xml:space="preserve">or triple </w:t>
      </w:r>
      <w:r w:rsidRPr="00411BA1">
        <w:rPr>
          <w:szCs w:val="4"/>
        </w:rPr>
        <w:t>glazing (14</w:t>
      </w:r>
      <w:r>
        <w:rPr>
          <w:szCs w:val="4"/>
        </w:rPr>
        <w:t>0</w:t>
      </w:r>
      <w:r w:rsidRPr="00411BA1">
        <w:rPr>
          <w:szCs w:val="4"/>
        </w:rPr>
        <w:t xml:space="preserve">,000). However, the installation of higher-efficiency LED lighting is the second most required retrofit activity, after heat pump installation. While it is not a labour-intensive process, </w:t>
      </w:r>
      <w:r>
        <w:rPr>
          <w:szCs w:val="4"/>
        </w:rPr>
        <w:t>883</w:t>
      </w:r>
      <w:r w:rsidRPr="00411BA1">
        <w:rPr>
          <w:szCs w:val="4"/>
        </w:rPr>
        <w:t xml:space="preserve">,000 home lighting systems are deemed to require replacement. </w:t>
      </w:r>
    </w:p>
    <w:p w14:paraId="465E09A7" w14:textId="77777777" w:rsidR="00B1337F" w:rsidRDefault="00B1337F">
      <w:pPr>
        <w:spacing w:after="0"/>
        <w:rPr>
          <w:szCs w:val="4"/>
        </w:rPr>
      </w:pPr>
      <w:r>
        <w:rPr>
          <w:szCs w:val="4"/>
        </w:rPr>
        <w:br w:type="page"/>
      </w:r>
    </w:p>
    <w:p w14:paraId="77279299" w14:textId="298F3BE4" w:rsidR="00B377FF" w:rsidRPr="00F201AD" w:rsidRDefault="00B377FF" w:rsidP="007247D2">
      <w:pPr>
        <w:pStyle w:val="Heading2"/>
        <w:spacing w:line="278" w:lineRule="auto"/>
      </w:pPr>
      <w:bookmarkStart w:id="21" w:name="_Toc221182657"/>
      <w:r>
        <w:lastRenderedPageBreak/>
        <w:t xml:space="preserve">Home retrofit progress by 2035 under the </w:t>
      </w:r>
      <w:r w:rsidR="00E579FF">
        <w:t>base</w:t>
      </w:r>
      <w:r>
        <w:t xml:space="preserve"> scenario</w:t>
      </w:r>
      <w:bookmarkEnd w:id="21"/>
    </w:p>
    <w:p w14:paraId="6C8B53E5" w14:textId="77777777" w:rsidR="004A07EC" w:rsidRPr="00411BA1" w:rsidRDefault="004A07EC" w:rsidP="004A07EC">
      <w:pPr>
        <w:spacing w:after="120" w:line="278" w:lineRule="auto"/>
        <w:jc w:val="both"/>
        <w:rPr>
          <w:szCs w:val="4"/>
        </w:rPr>
      </w:pPr>
      <w:r w:rsidRPr="00411BA1">
        <w:rPr>
          <w:szCs w:val="4"/>
        </w:rPr>
        <w:t>Labour demand estimates are derived from demand for home retrofitting over the forecast horizon. In turn, the latter is based on the assumptions on retrofit progress underpinning each of the three scenarios presented in the methodology of this report:</w:t>
      </w:r>
    </w:p>
    <w:p w14:paraId="381E7506" w14:textId="77777777" w:rsidR="004A07EC" w:rsidRPr="00411BA1" w:rsidRDefault="004A07EC" w:rsidP="004A07EC">
      <w:pPr>
        <w:pStyle w:val="ListParagraph"/>
        <w:numPr>
          <w:ilvl w:val="0"/>
          <w:numId w:val="31"/>
        </w:numPr>
        <w:spacing w:after="120" w:line="278" w:lineRule="auto"/>
        <w:jc w:val="both"/>
      </w:pPr>
      <w:r w:rsidRPr="00411BA1">
        <w:rPr>
          <w:b/>
          <w:bCs/>
        </w:rPr>
        <w:t>Base</w:t>
      </w:r>
      <w:r w:rsidRPr="00411BA1">
        <w:t>: reflects the Welsh Government’s long-term ambition to achieve a largely retrofitted housing stock by 2050</w:t>
      </w:r>
      <w:r>
        <w:t>, aligned to the CCC’s Balanced Pathway.</w:t>
      </w:r>
    </w:p>
    <w:p w14:paraId="037C3256" w14:textId="584E1077" w:rsidR="004A07EC" w:rsidRPr="00411BA1" w:rsidRDefault="004A07EC" w:rsidP="004A07EC">
      <w:pPr>
        <w:pStyle w:val="ListParagraph"/>
        <w:numPr>
          <w:ilvl w:val="0"/>
          <w:numId w:val="31"/>
        </w:numPr>
        <w:spacing w:after="120" w:line="278" w:lineRule="auto"/>
        <w:jc w:val="both"/>
        <w:rPr>
          <w:szCs w:val="4"/>
        </w:rPr>
      </w:pPr>
      <w:r>
        <w:rPr>
          <w:b/>
          <w:bCs/>
          <w:szCs w:val="4"/>
        </w:rPr>
        <w:t>High</w:t>
      </w:r>
      <w:r w:rsidR="00E668E5">
        <w:rPr>
          <w:b/>
          <w:bCs/>
          <w:szCs w:val="4"/>
        </w:rPr>
        <w:t xml:space="preserve"> </w:t>
      </w:r>
      <w:r w:rsidR="00167C62">
        <w:rPr>
          <w:b/>
          <w:bCs/>
          <w:szCs w:val="4"/>
        </w:rPr>
        <w:t>d</w:t>
      </w:r>
      <w:r>
        <w:rPr>
          <w:b/>
          <w:bCs/>
          <w:szCs w:val="4"/>
        </w:rPr>
        <w:t>emand</w:t>
      </w:r>
      <w:r w:rsidRPr="00411BA1">
        <w:rPr>
          <w:szCs w:val="4"/>
        </w:rPr>
        <w:t>: assumes faster delivery than the base scenario, with retrofit activity accelerating so that a largely retrofitted housing stock is achieved by 2045. Under this scenario, the number of homes requiring major retrofit measures falls to fewer than 100,000 by 2045.</w:t>
      </w:r>
    </w:p>
    <w:p w14:paraId="4EA3C7D6" w14:textId="6B019EEF" w:rsidR="004A07EC" w:rsidRPr="00411BA1" w:rsidRDefault="004A07EC" w:rsidP="004A07EC">
      <w:pPr>
        <w:pStyle w:val="ListParagraph"/>
        <w:numPr>
          <w:ilvl w:val="0"/>
          <w:numId w:val="31"/>
        </w:numPr>
        <w:spacing w:after="120" w:line="278" w:lineRule="auto"/>
        <w:jc w:val="both"/>
        <w:rPr>
          <w:szCs w:val="4"/>
        </w:rPr>
      </w:pPr>
      <w:r>
        <w:rPr>
          <w:b/>
          <w:bCs/>
          <w:szCs w:val="4"/>
        </w:rPr>
        <w:t>Low</w:t>
      </w:r>
      <w:r w:rsidR="00E668E5">
        <w:rPr>
          <w:b/>
          <w:bCs/>
          <w:szCs w:val="4"/>
        </w:rPr>
        <w:t xml:space="preserve"> </w:t>
      </w:r>
      <w:r w:rsidR="00167C62">
        <w:rPr>
          <w:b/>
          <w:bCs/>
          <w:szCs w:val="4"/>
        </w:rPr>
        <w:t>d</w:t>
      </w:r>
      <w:r>
        <w:rPr>
          <w:b/>
          <w:bCs/>
          <w:szCs w:val="4"/>
        </w:rPr>
        <w:t>emand</w:t>
      </w:r>
      <w:r w:rsidRPr="00411BA1">
        <w:rPr>
          <w:szCs w:val="4"/>
        </w:rPr>
        <w:t>: reflects a status quo pathway, where retrofit delivery</w:t>
      </w:r>
      <w:r>
        <w:rPr>
          <w:szCs w:val="4"/>
        </w:rPr>
        <w:t xml:space="preserve"> continues broadly at its current pace, with slight accelerations only in low-cost, low-intensity energy efficiency procedures</w:t>
      </w:r>
      <w:r w:rsidR="0084055C">
        <w:rPr>
          <w:szCs w:val="4"/>
        </w:rPr>
        <w:t>, and a deceleration in heat pump installations towards the end of the forecast horizon.</w:t>
      </w:r>
      <w:r>
        <w:rPr>
          <w:szCs w:val="4"/>
        </w:rPr>
        <w:t xml:space="preserve"> </w:t>
      </w:r>
    </w:p>
    <w:p w14:paraId="7C36383A" w14:textId="3B842E44" w:rsidR="004A07EC" w:rsidRPr="00411BA1" w:rsidRDefault="004A07EC" w:rsidP="004A07EC">
      <w:pPr>
        <w:spacing w:after="120" w:line="278" w:lineRule="auto"/>
        <w:jc w:val="both"/>
        <w:rPr>
          <w:szCs w:val="4"/>
        </w:rPr>
      </w:pPr>
      <w:r w:rsidRPr="00411BA1">
        <w:t xml:space="preserve">To illustrate our findings, we present the retrofit </w:t>
      </w:r>
      <w:r w:rsidR="000D19E4">
        <w:t>installation</w:t>
      </w:r>
      <w:r w:rsidRPr="00411BA1">
        <w:t xml:space="preserve"> figures for the </w:t>
      </w:r>
      <w:r w:rsidRPr="00BB5204">
        <w:rPr>
          <w:b/>
          <w:bCs/>
        </w:rPr>
        <w:t>base</w:t>
      </w:r>
      <w:r w:rsidRPr="00411BA1">
        <w:t xml:space="preserve"> scenario in Table </w:t>
      </w:r>
      <w:r w:rsidR="00167C62">
        <w:t>6</w:t>
      </w:r>
      <w:r w:rsidRPr="00411BA1">
        <w:t>, broken down by financial year and type of retrofit activity required.</w:t>
      </w:r>
      <w:r w:rsidR="005F78CA">
        <w:t xml:space="preserve"> Note that </w:t>
      </w:r>
      <w:r w:rsidR="009A60DD">
        <w:t xml:space="preserve">an individual property may require multiple installations. </w:t>
      </w:r>
    </w:p>
    <w:p w14:paraId="471800F5" w14:textId="75FFC0A3" w:rsidR="004A07EC" w:rsidRPr="00411BA1" w:rsidRDefault="004A07EC" w:rsidP="004A07EC">
      <w:pPr>
        <w:pStyle w:val="Caption"/>
        <w:rPr>
          <w:color w:val="40403E"/>
          <w:sz w:val="22"/>
          <w:szCs w:val="20"/>
        </w:rPr>
      </w:pPr>
      <w:r w:rsidRPr="00411BA1">
        <w:rPr>
          <w:color w:val="6D6E71" w:themeColor="accent3"/>
          <w:sz w:val="18"/>
          <w:szCs w:val="14"/>
        </w:rPr>
        <w:t xml:space="preserve">Table </w:t>
      </w:r>
      <w:r w:rsidRPr="00411BA1">
        <w:rPr>
          <w:color w:val="6D6E71" w:themeColor="accent3"/>
          <w:sz w:val="18"/>
          <w:szCs w:val="14"/>
        </w:rPr>
        <w:fldChar w:fldCharType="begin"/>
      </w:r>
      <w:r w:rsidRPr="00411BA1">
        <w:rPr>
          <w:color w:val="6D6E71" w:themeColor="accent3"/>
          <w:sz w:val="18"/>
          <w:szCs w:val="14"/>
        </w:rPr>
        <w:instrText xml:space="preserve"> SEQ Table \* ARABIC </w:instrText>
      </w:r>
      <w:r w:rsidRPr="00411BA1">
        <w:rPr>
          <w:color w:val="6D6E71" w:themeColor="accent3"/>
          <w:sz w:val="18"/>
          <w:szCs w:val="14"/>
        </w:rPr>
        <w:fldChar w:fldCharType="separate"/>
      </w:r>
      <w:r w:rsidR="004775B5">
        <w:rPr>
          <w:noProof/>
          <w:color w:val="6D6E71" w:themeColor="accent3"/>
          <w:sz w:val="18"/>
          <w:szCs w:val="14"/>
        </w:rPr>
        <w:t>6</w:t>
      </w:r>
      <w:r w:rsidRPr="00411BA1">
        <w:rPr>
          <w:color w:val="6D6E71" w:themeColor="accent3"/>
          <w:sz w:val="18"/>
          <w:szCs w:val="14"/>
        </w:rPr>
        <w:fldChar w:fldCharType="end"/>
      </w:r>
      <w:r w:rsidRPr="00411BA1">
        <w:rPr>
          <w:color w:val="6D6E71" w:themeColor="accent3"/>
          <w:sz w:val="18"/>
          <w:szCs w:val="14"/>
        </w:rPr>
        <w:t xml:space="preserve">: </w:t>
      </w:r>
      <w:r w:rsidRPr="00411BA1">
        <w:rPr>
          <w:color w:val="6D6E71" w:themeColor="accent3"/>
          <w:sz w:val="18"/>
        </w:rPr>
        <w:t xml:space="preserve">Welsh home retrofit requirement forecasts under </w:t>
      </w:r>
      <w:r w:rsidRPr="004A07EC">
        <w:rPr>
          <w:b/>
          <w:bCs/>
          <w:color w:val="6D6E71" w:themeColor="accent3"/>
          <w:sz w:val="18"/>
          <w:u w:val="single"/>
        </w:rPr>
        <w:t>base</w:t>
      </w:r>
      <w:r w:rsidRPr="00411BA1">
        <w:rPr>
          <w:color w:val="6D6E71" w:themeColor="accent3"/>
          <w:sz w:val="18"/>
        </w:rPr>
        <w:t xml:space="preserve"> scenario by type of retrofit activity (rounded to nearest 100s)</w:t>
      </w:r>
    </w:p>
    <w:tbl>
      <w:tblPr>
        <w:tblW w:w="0" w:type="auto"/>
        <w:tblLayout w:type="fixed"/>
        <w:tblLook w:val="04A0" w:firstRow="1" w:lastRow="0" w:firstColumn="1" w:lastColumn="0" w:noHBand="0" w:noVBand="1"/>
        <w:tblCaption w:val="Table 6: Welsh home retrofit requirement forecasts under base scenario by type of retrofit activity (rounded to nearest 100s)"/>
        <w:tblDescription w:val="Table showing projected annual numbers of home retrofit installations in Wales under the base scenario, broken down by type of retrofit activity, from 2025/26 to 2034/35."/>
      </w:tblPr>
      <w:tblGrid>
        <w:gridCol w:w="939"/>
        <w:gridCol w:w="1350"/>
        <w:gridCol w:w="1350"/>
        <w:gridCol w:w="1350"/>
        <w:gridCol w:w="1350"/>
        <w:gridCol w:w="1350"/>
        <w:gridCol w:w="1351"/>
      </w:tblGrid>
      <w:tr w:rsidR="004A07EC" w:rsidRPr="00411BA1" w14:paraId="7F7F539B" w14:textId="77777777" w:rsidTr="005B5899">
        <w:trPr>
          <w:trHeight w:val="537"/>
        </w:trPr>
        <w:tc>
          <w:tcPr>
            <w:tcW w:w="939" w:type="dxa"/>
            <w:tcBorders>
              <w:top w:val="nil"/>
              <w:left w:val="nil"/>
              <w:bottom w:val="nil"/>
              <w:right w:val="nil"/>
            </w:tcBorders>
            <w:noWrap/>
            <w:vAlign w:val="center"/>
            <w:hideMark/>
          </w:tcPr>
          <w:p w14:paraId="7EE98274" w14:textId="77777777" w:rsidR="004A07EC" w:rsidRPr="00411BA1" w:rsidRDefault="004A07EC" w:rsidP="003F418B">
            <w:pPr>
              <w:spacing w:after="0"/>
              <w:jc w:val="center"/>
              <w:rPr>
                <w:rFonts w:eastAsia="Times New Roman"/>
                <w:color w:val="auto"/>
                <w:sz w:val="20"/>
                <w:lang w:eastAsia="en-GB"/>
              </w:rPr>
            </w:pPr>
          </w:p>
        </w:tc>
        <w:tc>
          <w:tcPr>
            <w:tcW w:w="8101" w:type="dxa"/>
            <w:gridSpan w:val="6"/>
            <w:tcBorders>
              <w:top w:val="single" w:sz="4" w:space="0" w:color="auto"/>
              <w:left w:val="single" w:sz="8" w:space="0" w:color="auto"/>
              <w:bottom w:val="single" w:sz="8" w:space="0" w:color="auto"/>
              <w:right w:val="single" w:sz="8" w:space="0" w:color="000000" w:themeColor="text1"/>
            </w:tcBorders>
            <w:shd w:val="clear" w:color="auto" w:fill="00464D" w:themeFill="accent1" w:themeFillShade="80"/>
            <w:vAlign w:val="center"/>
            <w:hideMark/>
          </w:tcPr>
          <w:p w14:paraId="5F3E98F8" w14:textId="7B5B1BA6" w:rsidR="004A07EC" w:rsidRPr="00411BA1" w:rsidRDefault="004A07EC" w:rsidP="003F418B">
            <w:pPr>
              <w:spacing w:after="0"/>
              <w:jc w:val="center"/>
              <w:rPr>
                <w:rFonts w:eastAsia="Times New Roman" w:cs="Calibri"/>
                <w:b/>
                <w:bCs/>
                <w:color w:val="auto"/>
                <w:sz w:val="20"/>
                <w:lang w:eastAsia="en-GB"/>
              </w:rPr>
            </w:pPr>
            <w:r>
              <w:rPr>
                <w:rFonts w:eastAsia="Times New Roman" w:cs="Calibri"/>
                <w:b/>
                <w:bCs/>
                <w:color w:val="auto"/>
                <w:sz w:val="20"/>
                <w:lang w:eastAsia="en-GB"/>
              </w:rPr>
              <w:t>Number of retrofit installations, by type of retrofit activity</w:t>
            </w:r>
          </w:p>
        </w:tc>
      </w:tr>
      <w:tr w:rsidR="004A07EC" w:rsidRPr="00411BA1" w14:paraId="478D4628" w14:textId="77777777" w:rsidTr="005B5899">
        <w:trPr>
          <w:trHeight w:val="782"/>
        </w:trPr>
        <w:tc>
          <w:tcPr>
            <w:tcW w:w="939" w:type="dxa"/>
            <w:tcBorders>
              <w:top w:val="nil"/>
              <w:left w:val="nil"/>
              <w:bottom w:val="nil"/>
              <w:right w:val="nil"/>
            </w:tcBorders>
            <w:noWrap/>
            <w:vAlign w:val="center"/>
            <w:hideMark/>
          </w:tcPr>
          <w:p w14:paraId="52B768A1" w14:textId="77777777" w:rsidR="004A07EC" w:rsidRPr="00411BA1" w:rsidRDefault="004A07EC" w:rsidP="003F418B">
            <w:pPr>
              <w:spacing w:after="0"/>
              <w:jc w:val="center"/>
              <w:rPr>
                <w:rFonts w:eastAsia="Times New Roman" w:cs="Calibri"/>
                <w:b/>
                <w:bCs/>
                <w:color w:val="auto"/>
                <w:sz w:val="20"/>
                <w:lang w:eastAsia="en-GB"/>
              </w:rPr>
            </w:pPr>
          </w:p>
        </w:tc>
        <w:tc>
          <w:tcPr>
            <w:tcW w:w="1350"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6135C420" w14:textId="77777777" w:rsidR="004A07EC" w:rsidRPr="00411BA1" w:rsidRDefault="004A07EC" w:rsidP="003F418B">
            <w:pPr>
              <w:spacing w:after="0"/>
              <w:jc w:val="center"/>
              <w:rPr>
                <w:rFonts w:eastAsia="Times New Roman" w:cs="Calibri"/>
                <w:b/>
                <w:bCs/>
                <w:color w:val="auto"/>
                <w:sz w:val="20"/>
                <w:lang w:eastAsia="en-GB"/>
              </w:rPr>
            </w:pPr>
            <w:r w:rsidRPr="00411BA1">
              <w:rPr>
                <w:rFonts w:eastAsia="Times New Roman" w:cs="Calibri"/>
                <w:b/>
                <w:bCs/>
                <w:color w:val="auto"/>
                <w:sz w:val="20"/>
                <w:lang w:eastAsia="en-GB"/>
              </w:rPr>
              <w:t>Fabric and insulation</w:t>
            </w:r>
          </w:p>
        </w:tc>
        <w:tc>
          <w:tcPr>
            <w:tcW w:w="1350" w:type="dxa"/>
            <w:tcBorders>
              <w:top w:val="nil"/>
              <w:left w:val="nil"/>
              <w:bottom w:val="single" w:sz="8" w:space="0" w:color="auto"/>
              <w:right w:val="single" w:sz="8" w:space="0" w:color="auto"/>
            </w:tcBorders>
            <w:shd w:val="clear" w:color="auto" w:fill="00464D" w:themeFill="accent1" w:themeFillShade="80"/>
            <w:vAlign w:val="center"/>
            <w:hideMark/>
          </w:tcPr>
          <w:p w14:paraId="66B1DF15" w14:textId="77777777" w:rsidR="004A07EC" w:rsidRPr="00411BA1" w:rsidRDefault="004A07EC" w:rsidP="003F418B">
            <w:pPr>
              <w:spacing w:after="0"/>
              <w:jc w:val="center"/>
              <w:rPr>
                <w:rFonts w:eastAsia="Times New Roman" w:cs="Calibri"/>
                <w:b/>
                <w:bCs/>
                <w:color w:val="auto"/>
                <w:sz w:val="20"/>
                <w:lang w:eastAsia="en-GB"/>
              </w:rPr>
            </w:pPr>
            <w:r w:rsidRPr="00411BA1">
              <w:rPr>
                <w:rFonts w:eastAsia="Times New Roman" w:cs="Calibri"/>
                <w:b/>
                <w:bCs/>
                <w:color w:val="auto"/>
                <w:sz w:val="20"/>
                <w:lang w:eastAsia="en-GB"/>
              </w:rPr>
              <w:t>Glazing</w:t>
            </w:r>
          </w:p>
        </w:tc>
        <w:tc>
          <w:tcPr>
            <w:tcW w:w="1350" w:type="dxa"/>
            <w:tcBorders>
              <w:top w:val="nil"/>
              <w:left w:val="nil"/>
              <w:bottom w:val="single" w:sz="8" w:space="0" w:color="auto"/>
              <w:right w:val="single" w:sz="8" w:space="0" w:color="auto"/>
            </w:tcBorders>
            <w:shd w:val="clear" w:color="auto" w:fill="00464D" w:themeFill="accent1" w:themeFillShade="80"/>
            <w:vAlign w:val="center"/>
            <w:hideMark/>
          </w:tcPr>
          <w:p w14:paraId="50C81234" w14:textId="77777777" w:rsidR="004A07EC" w:rsidRPr="00411BA1" w:rsidRDefault="004A07EC" w:rsidP="003F418B">
            <w:pPr>
              <w:spacing w:after="0"/>
              <w:jc w:val="center"/>
              <w:rPr>
                <w:rFonts w:eastAsia="Times New Roman" w:cs="Calibri"/>
                <w:b/>
                <w:bCs/>
                <w:color w:val="auto"/>
                <w:sz w:val="20"/>
                <w:lang w:eastAsia="en-GB"/>
              </w:rPr>
            </w:pPr>
            <w:r w:rsidRPr="00411BA1">
              <w:rPr>
                <w:rFonts w:eastAsia="Times New Roman" w:cs="Calibri"/>
                <w:b/>
                <w:bCs/>
                <w:color w:val="auto"/>
                <w:sz w:val="20"/>
                <w:lang w:eastAsia="en-GB"/>
              </w:rPr>
              <w:t>Heating systems</w:t>
            </w:r>
          </w:p>
        </w:tc>
        <w:tc>
          <w:tcPr>
            <w:tcW w:w="1350" w:type="dxa"/>
            <w:tcBorders>
              <w:top w:val="nil"/>
              <w:left w:val="nil"/>
              <w:bottom w:val="single" w:sz="8" w:space="0" w:color="auto"/>
              <w:right w:val="single" w:sz="8" w:space="0" w:color="auto"/>
            </w:tcBorders>
            <w:shd w:val="clear" w:color="auto" w:fill="00464D" w:themeFill="accent1" w:themeFillShade="80"/>
            <w:vAlign w:val="center"/>
            <w:hideMark/>
          </w:tcPr>
          <w:p w14:paraId="266F2C1C" w14:textId="77777777" w:rsidR="004A07EC" w:rsidRPr="00411BA1" w:rsidRDefault="004A07EC" w:rsidP="003F418B">
            <w:pPr>
              <w:spacing w:after="0"/>
              <w:jc w:val="center"/>
              <w:rPr>
                <w:rFonts w:eastAsia="Times New Roman" w:cs="Calibri"/>
                <w:b/>
                <w:bCs/>
                <w:color w:val="auto"/>
                <w:sz w:val="20"/>
                <w:lang w:eastAsia="en-GB"/>
              </w:rPr>
            </w:pPr>
            <w:r w:rsidRPr="00411BA1">
              <w:rPr>
                <w:rFonts w:eastAsia="Times New Roman" w:cs="Calibri"/>
                <w:b/>
                <w:bCs/>
                <w:color w:val="auto"/>
                <w:sz w:val="20"/>
                <w:lang w:eastAsia="en-GB"/>
              </w:rPr>
              <w:t>Damp and ventilation</w:t>
            </w:r>
          </w:p>
        </w:tc>
        <w:tc>
          <w:tcPr>
            <w:tcW w:w="1350" w:type="dxa"/>
            <w:tcBorders>
              <w:top w:val="nil"/>
              <w:left w:val="nil"/>
              <w:bottom w:val="single" w:sz="8" w:space="0" w:color="auto"/>
              <w:right w:val="single" w:sz="8" w:space="0" w:color="auto"/>
            </w:tcBorders>
            <w:shd w:val="clear" w:color="auto" w:fill="00464D" w:themeFill="accent1" w:themeFillShade="80"/>
            <w:vAlign w:val="center"/>
            <w:hideMark/>
          </w:tcPr>
          <w:p w14:paraId="11FBF223" w14:textId="77777777" w:rsidR="004A07EC" w:rsidRPr="00411BA1" w:rsidRDefault="004A07EC" w:rsidP="003F418B">
            <w:pPr>
              <w:spacing w:after="0"/>
              <w:jc w:val="center"/>
              <w:rPr>
                <w:rFonts w:eastAsia="Times New Roman" w:cs="Calibri"/>
                <w:b/>
                <w:bCs/>
                <w:color w:val="auto"/>
                <w:sz w:val="20"/>
                <w:lang w:eastAsia="en-GB"/>
              </w:rPr>
            </w:pPr>
            <w:r w:rsidRPr="00411BA1">
              <w:rPr>
                <w:rFonts w:eastAsia="Times New Roman" w:cs="Calibri"/>
                <w:b/>
                <w:bCs/>
                <w:color w:val="auto"/>
                <w:sz w:val="20"/>
                <w:lang w:eastAsia="en-GB"/>
              </w:rPr>
              <w:t>Low-energy lighting</w:t>
            </w:r>
          </w:p>
        </w:tc>
        <w:tc>
          <w:tcPr>
            <w:tcW w:w="1351" w:type="dxa"/>
            <w:tcBorders>
              <w:top w:val="nil"/>
              <w:left w:val="nil"/>
              <w:bottom w:val="single" w:sz="8" w:space="0" w:color="auto"/>
              <w:right w:val="single" w:sz="8" w:space="0" w:color="auto"/>
            </w:tcBorders>
            <w:shd w:val="clear" w:color="auto" w:fill="00464D" w:themeFill="accent1" w:themeFillShade="80"/>
            <w:vAlign w:val="center"/>
            <w:hideMark/>
          </w:tcPr>
          <w:p w14:paraId="0984D287" w14:textId="77777777" w:rsidR="004A07EC" w:rsidRPr="00411BA1" w:rsidRDefault="004A07EC" w:rsidP="003F418B">
            <w:pPr>
              <w:spacing w:after="0"/>
              <w:jc w:val="center"/>
              <w:rPr>
                <w:rFonts w:eastAsia="Times New Roman" w:cs="Calibri"/>
                <w:b/>
                <w:bCs/>
                <w:color w:val="auto"/>
                <w:sz w:val="20"/>
                <w:lang w:eastAsia="en-GB"/>
              </w:rPr>
            </w:pPr>
            <w:r w:rsidRPr="00411BA1">
              <w:rPr>
                <w:rFonts w:eastAsia="Times New Roman" w:cs="Calibri"/>
                <w:b/>
                <w:bCs/>
                <w:color w:val="auto"/>
                <w:sz w:val="20"/>
                <w:lang w:eastAsia="en-GB"/>
              </w:rPr>
              <w:t>Loft insulation</w:t>
            </w:r>
          </w:p>
        </w:tc>
      </w:tr>
      <w:tr w:rsidR="004A07EC" w:rsidRPr="00411BA1" w14:paraId="361875E2" w14:textId="77777777" w:rsidTr="005B5899">
        <w:trPr>
          <w:trHeight w:val="537"/>
        </w:trPr>
        <w:tc>
          <w:tcPr>
            <w:tcW w:w="939" w:type="dxa"/>
            <w:tcBorders>
              <w:top w:val="single" w:sz="8" w:space="0" w:color="auto"/>
              <w:left w:val="single" w:sz="8" w:space="0" w:color="auto"/>
              <w:bottom w:val="single" w:sz="8" w:space="0" w:color="auto"/>
              <w:right w:val="single" w:sz="8" w:space="0" w:color="auto"/>
            </w:tcBorders>
            <w:shd w:val="clear" w:color="auto" w:fill="00464D" w:themeFill="accent1" w:themeFillShade="80"/>
            <w:vAlign w:val="center"/>
            <w:hideMark/>
          </w:tcPr>
          <w:p w14:paraId="11C94074" w14:textId="77777777" w:rsidR="004A07EC" w:rsidRPr="00411BA1" w:rsidRDefault="004A07EC" w:rsidP="003F418B">
            <w:pPr>
              <w:spacing w:after="0"/>
              <w:jc w:val="center"/>
              <w:rPr>
                <w:rFonts w:eastAsia="Times New Roman" w:cs="Calibri"/>
                <w:b/>
                <w:bCs/>
                <w:color w:val="auto"/>
                <w:sz w:val="20"/>
                <w:lang w:eastAsia="en-GB"/>
              </w:rPr>
            </w:pPr>
            <w:r w:rsidRPr="00411BA1">
              <w:rPr>
                <w:rFonts w:eastAsia="Times New Roman" w:cs="Calibri"/>
                <w:b/>
                <w:bCs/>
                <w:color w:val="auto"/>
                <w:sz w:val="20"/>
                <w:lang w:eastAsia="en-GB"/>
              </w:rPr>
              <w:t>2025/26</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70BA6666" w14:textId="77777777" w:rsidR="004A07EC" w:rsidRPr="00411BA1" w:rsidRDefault="004A07EC" w:rsidP="003F418B">
            <w:pPr>
              <w:spacing w:after="0"/>
              <w:jc w:val="center"/>
              <w:rPr>
                <w:rFonts w:eastAsia="Times New Roman"/>
                <w:color w:val="auto"/>
                <w:sz w:val="20"/>
                <w:lang w:eastAsia="en-GB"/>
              </w:rPr>
            </w:pPr>
            <w:r w:rsidRPr="00411BA1">
              <w:rPr>
                <w:color w:val="000000"/>
                <w:sz w:val="20"/>
              </w:rPr>
              <w:t>12,000</w:t>
            </w:r>
          </w:p>
        </w:tc>
        <w:tc>
          <w:tcPr>
            <w:tcW w:w="1350" w:type="dxa"/>
            <w:tcBorders>
              <w:top w:val="nil"/>
              <w:left w:val="nil"/>
              <w:bottom w:val="single" w:sz="8" w:space="0" w:color="auto"/>
              <w:right w:val="single" w:sz="8" w:space="0" w:color="auto"/>
            </w:tcBorders>
            <w:shd w:val="clear" w:color="auto" w:fill="FFFFFF" w:themeFill="background1"/>
            <w:vAlign w:val="center"/>
            <w:hideMark/>
          </w:tcPr>
          <w:p w14:paraId="39F7431A"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3,100</w:t>
            </w:r>
          </w:p>
        </w:tc>
        <w:tc>
          <w:tcPr>
            <w:tcW w:w="1350" w:type="dxa"/>
            <w:tcBorders>
              <w:top w:val="nil"/>
              <w:left w:val="nil"/>
              <w:bottom w:val="single" w:sz="8" w:space="0" w:color="auto"/>
              <w:right w:val="single" w:sz="8" w:space="0" w:color="auto"/>
            </w:tcBorders>
            <w:shd w:val="clear" w:color="auto" w:fill="FFFFFF" w:themeFill="background1"/>
            <w:vAlign w:val="center"/>
            <w:hideMark/>
          </w:tcPr>
          <w:p w14:paraId="5DD61396" w14:textId="77777777" w:rsidR="004A07EC" w:rsidRPr="00411BA1" w:rsidRDefault="004A07EC" w:rsidP="003F418B">
            <w:pPr>
              <w:spacing w:after="0"/>
              <w:jc w:val="center"/>
              <w:rPr>
                <w:rFonts w:eastAsia="Times New Roman"/>
                <w:color w:val="auto"/>
                <w:sz w:val="20"/>
                <w:lang w:eastAsia="en-GB"/>
              </w:rPr>
            </w:pPr>
            <w:r w:rsidRPr="00411BA1">
              <w:rPr>
                <w:color w:val="000000" w:themeColor="text1"/>
                <w:sz w:val="20"/>
              </w:rPr>
              <w:t>8,</w:t>
            </w:r>
            <w:r>
              <w:rPr>
                <w:color w:val="000000" w:themeColor="text1"/>
                <w:sz w:val="20"/>
              </w:rPr>
              <w:t>0</w:t>
            </w:r>
            <w:r w:rsidRPr="00411BA1">
              <w:rPr>
                <w:color w:val="000000" w:themeColor="text1"/>
                <w:sz w:val="20"/>
              </w:rPr>
              <w:t>00</w:t>
            </w:r>
          </w:p>
        </w:tc>
        <w:tc>
          <w:tcPr>
            <w:tcW w:w="1350" w:type="dxa"/>
            <w:tcBorders>
              <w:top w:val="nil"/>
              <w:left w:val="nil"/>
              <w:bottom w:val="single" w:sz="8" w:space="0" w:color="auto"/>
              <w:right w:val="single" w:sz="8" w:space="0" w:color="auto"/>
            </w:tcBorders>
            <w:shd w:val="clear" w:color="auto" w:fill="FFFFFF" w:themeFill="background1"/>
            <w:vAlign w:val="center"/>
          </w:tcPr>
          <w:p w14:paraId="78BA44D8"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1,800</w:t>
            </w:r>
          </w:p>
        </w:tc>
        <w:tc>
          <w:tcPr>
            <w:tcW w:w="1350" w:type="dxa"/>
            <w:tcBorders>
              <w:top w:val="nil"/>
              <w:left w:val="nil"/>
              <w:bottom w:val="single" w:sz="8" w:space="0" w:color="auto"/>
              <w:right w:val="single" w:sz="8" w:space="0" w:color="auto"/>
            </w:tcBorders>
            <w:shd w:val="clear" w:color="auto" w:fill="FFFFFF" w:themeFill="background1"/>
            <w:vAlign w:val="center"/>
          </w:tcPr>
          <w:p w14:paraId="1CF00D21"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19,700</w:t>
            </w:r>
          </w:p>
        </w:tc>
        <w:tc>
          <w:tcPr>
            <w:tcW w:w="1351" w:type="dxa"/>
            <w:tcBorders>
              <w:top w:val="nil"/>
              <w:left w:val="nil"/>
              <w:bottom w:val="single" w:sz="8" w:space="0" w:color="auto"/>
              <w:right w:val="single" w:sz="8" w:space="0" w:color="auto"/>
            </w:tcBorders>
            <w:shd w:val="clear" w:color="auto" w:fill="FFFFFF" w:themeFill="background1"/>
            <w:vAlign w:val="center"/>
          </w:tcPr>
          <w:p w14:paraId="40346BCD"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14,600</w:t>
            </w:r>
          </w:p>
        </w:tc>
      </w:tr>
      <w:tr w:rsidR="004A07EC" w:rsidRPr="00411BA1" w14:paraId="75FE0925"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636F33D8" w14:textId="77777777" w:rsidR="004A07EC" w:rsidRPr="00411BA1" w:rsidRDefault="004A07EC" w:rsidP="003F418B">
            <w:pPr>
              <w:spacing w:after="0"/>
              <w:jc w:val="center"/>
              <w:rPr>
                <w:rFonts w:eastAsia="Times New Roman" w:cs="Calibri"/>
                <w:b/>
                <w:bCs/>
                <w:color w:val="auto"/>
                <w:sz w:val="20"/>
                <w:lang w:eastAsia="en-GB"/>
              </w:rPr>
            </w:pPr>
            <w:r w:rsidRPr="00411BA1">
              <w:rPr>
                <w:rFonts w:eastAsia="Times New Roman" w:cs="Calibri"/>
                <w:b/>
                <w:bCs/>
                <w:color w:val="auto"/>
                <w:sz w:val="20"/>
                <w:lang w:eastAsia="en-GB"/>
              </w:rPr>
              <w:t>2026/27</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3C24D004" w14:textId="77777777" w:rsidR="004A07EC" w:rsidRPr="00411BA1" w:rsidRDefault="004A07EC" w:rsidP="003F418B">
            <w:pPr>
              <w:spacing w:after="0"/>
              <w:jc w:val="center"/>
              <w:rPr>
                <w:rFonts w:eastAsia="Times New Roman"/>
                <w:color w:val="auto"/>
                <w:sz w:val="20"/>
                <w:lang w:eastAsia="en-GB"/>
              </w:rPr>
            </w:pPr>
            <w:r w:rsidRPr="00411BA1">
              <w:rPr>
                <w:color w:val="000000"/>
                <w:sz w:val="20"/>
              </w:rPr>
              <w:t>12,600</w:t>
            </w:r>
          </w:p>
        </w:tc>
        <w:tc>
          <w:tcPr>
            <w:tcW w:w="1350" w:type="dxa"/>
            <w:tcBorders>
              <w:top w:val="nil"/>
              <w:left w:val="nil"/>
              <w:bottom w:val="single" w:sz="8" w:space="0" w:color="auto"/>
              <w:right w:val="single" w:sz="8" w:space="0" w:color="auto"/>
            </w:tcBorders>
            <w:shd w:val="clear" w:color="auto" w:fill="FFFFFF" w:themeFill="background1"/>
            <w:vAlign w:val="center"/>
          </w:tcPr>
          <w:p w14:paraId="6B4D0E87"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3,300</w:t>
            </w:r>
          </w:p>
        </w:tc>
        <w:tc>
          <w:tcPr>
            <w:tcW w:w="1350" w:type="dxa"/>
            <w:tcBorders>
              <w:top w:val="nil"/>
              <w:left w:val="nil"/>
              <w:bottom w:val="single" w:sz="8" w:space="0" w:color="auto"/>
              <w:right w:val="single" w:sz="8" w:space="0" w:color="auto"/>
            </w:tcBorders>
            <w:shd w:val="clear" w:color="auto" w:fill="FFFFFF" w:themeFill="background1"/>
            <w:vAlign w:val="center"/>
            <w:hideMark/>
          </w:tcPr>
          <w:p w14:paraId="06335286" w14:textId="77777777" w:rsidR="004A07EC" w:rsidRPr="00411BA1" w:rsidRDefault="004A07EC" w:rsidP="003F418B">
            <w:pPr>
              <w:spacing w:after="0"/>
              <w:jc w:val="center"/>
              <w:rPr>
                <w:rFonts w:eastAsia="Times New Roman"/>
                <w:color w:val="auto"/>
                <w:sz w:val="20"/>
                <w:lang w:eastAsia="en-GB"/>
              </w:rPr>
            </w:pPr>
            <w:r w:rsidRPr="00411BA1">
              <w:rPr>
                <w:color w:val="000000"/>
                <w:sz w:val="20"/>
              </w:rPr>
              <w:t>11,900</w:t>
            </w:r>
          </w:p>
        </w:tc>
        <w:tc>
          <w:tcPr>
            <w:tcW w:w="1350" w:type="dxa"/>
            <w:tcBorders>
              <w:top w:val="nil"/>
              <w:left w:val="nil"/>
              <w:bottom w:val="single" w:sz="8" w:space="0" w:color="auto"/>
              <w:right w:val="single" w:sz="8" w:space="0" w:color="auto"/>
            </w:tcBorders>
            <w:shd w:val="clear" w:color="auto" w:fill="FFFFFF" w:themeFill="background1"/>
            <w:vAlign w:val="center"/>
          </w:tcPr>
          <w:p w14:paraId="79F18D5B"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1,900</w:t>
            </w:r>
          </w:p>
        </w:tc>
        <w:tc>
          <w:tcPr>
            <w:tcW w:w="1350" w:type="dxa"/>
            <w:tcBorders>
              <w:top w:val="nil"/>
              <w:left w:val="nil"/>
              <w:bottom w:val="single" w:sz="8" w:space="0" w:color="auto"/>
              <w:right w:val="single" w:sz="8" w:space="0" w:color="auto"/>
            </w:tcBorders>
            <w:shd w:val="clear" w:color="auto" w:fill="FFFFFF" w:themeFill="background1"/>
            <w:vAlign w:val="center"/>
          </w:tcPr>
          <w:p w14:paraId="42C8E27B"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20,600</w:t>
            </w:r>
          </w:p>
        </w:tc>
        <w:tc>
          <w:tcPr>
            <w:tcW w:w="1351" w:type="dxa"/>
            <w:tcBorders>
              <w:top w:val="nil"/>
              <w:left w:val="nil"/>
              <w:bottom w:val="single" w:sz="8" w:space="0" w:color="auto"/>
              <w:right w:val="single" w:sz="8" w:space="0" w:color="auto"/>
            </w:tcBorders>
            <w:shd w:val="clear" w:color="auto" w:fill="FFFFFF" w:themeFill="background1"/>
            <w:vAlign w:val="center"/>
          </w:tcPr>
          <w:p w14:paraId="2FA55D6E"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15,300</w:t>
            </w:r>
          </w:p>
        </w:tc>
      </w:tr>
      <w:tr w:rsidR="004A07EC" w:rsidRPr="00411BA1" w14:paraId="12A57FE1"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2DB1B585" w14:textId="77777777" w:rsidR="004A07EC" w:rsidRPr="00411BA1" w:rsidRDefault="004A07EC" w:rsidP="003F418B">
            <w:pPr>
              <w:spacing w:after="0"/>
              <w:jc w:val="center"/>
              <w:rPr>
                <w:rFonts w:eastAsia="Times New Roman" w:cs="Calibri"/>
                <w:b/>
                <w:bCs/>
                <w:color w:val="auto"/>
                <w:sz w:val="20"/>
                <w:lang w:eastAsia="en-GB"/>
              </w:rPr>
            </w:pPr>
            <w:r w:rsidRPr="00411BA1">
              <w:rPr>
                <w:rFonts w:eastAsia="Times New Roman" w:cs="Calibri"/>
                <w:b/>
                <w:bCs/>
                <w:color w:val="auto"/>
                <w:sz w:val="20"/>
                <w:lang w:eastAsia="en-GB"/>
              </w:rPr>
              <w:t>2027/28</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158D8A82" w14:textId="77777777" w:rsidR="004A07EC" w:rsidRPr="00411BA1" w:rsidRDefault="004A07EC" w:rsidP="003F418B">
            <w:pPr>
              <w:spacing w:after="0"/>
              <w:jc w:val="center"/>
              <w:rPr>
                <w:rFonts w:eastAsia="Times New Roman"/>
                <w:color w:val="auto"/>
                <w:sz w:val="20"/>
                <w:lang w:eastAsia="en-GB"/>
              </w:rPr>
            </w:pPr>
            <w:r w:rsidRPr="00411BA1">
              <w:rPr>
                <w:color w:val="000000"/>
                <w:sz w:val="20"/>
              </w:rPr>
              <w:t>13,200</w:t>
            </w:r>
          </w:p>
        </w:tc>
        <w:tc>
          <w:tcPr>
            <w:tcW w:w="1350" w:type="dxa"/>
            <w:tcBorders>
              <w:top w:val="nil"/>
              <w:left w:val="nil"/>
              <w:bottom w:val="single" w:sz="8" w:space="0" w:color="auto"/>
              <w:right w:val="single" w:sz="8" w:space="0" w:color="auto"/>
            </w:tcBorders>
            <w:shd w:val="clear" w:color="auto" w:fill="FFFFFF" w:themeFill="background1"/>
            <w:vAlign w:val="center"/>
          </w:tcPr>
          <w:p w14:paraId="720752DF"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3,400</w:t>
            </w:r>
          </w:p>
        </w:tc>
        <w:tc>
          <w:tcPr>
            <w:tcW w:w="1350" w:type="dxa"/>
            <w:tcBorders>
              <w:top w:val="nil"/>
              <w:left w:val="nil"/>
              <w:bottom w:val="single" w:sz="8" w:space="0" w:color="auto"/>
              <w:right w:val="single" w:sz="8" w:space="0" w:color="auto"/>
            </w:tcBorders>
            <w:shd w:val="clear" w:color="auto" w:fill="FFFFFF" w:themeFill="background1"/>
            <w:vAlign w:val="center"/>
          </w:tcPr>
          <w:p w14:paraId="1E033750"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17,000</w:t>
            </w:r>
          </w:p>
        </w:tc>
        <w:tc>
          <w:tcPr>
            <w:tcW w:w="1350" w:type="dxa"/>
            <w:tcBorders>
              <w:top w:val="nil"/>
              <w:left w:val="nil"/>
              <w:bottom w:val="single" w:sz="8" w:space="0" w:color="auto"/>
              <w:right w:val="single" w:sz="8" w:space="0" w:color="auto"/>
            </w:tcBorders>
            <w:shd w:val="clear" w:color="auto" w:fill="FFFFFF" w:themeFill="background1"/>
            <w:vAlign w:val="center"/>
          </w:tcPr>
          <w:p w14:paraId="7C6DCD1A"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2,000</w:t>
            </w:r>
          </w:p>
        </w:tc>
        <w:tc>
          <w:tcPr>
            <w:tcW w:w="1350" w:type="dxa"/>
            <w:tcBorders>
              <w:top w:val="nil"/>
              <w:left w:val="nil"/>
              <w:bottom w:val="single" w:sz="8" w:space="0" w:color="auto"/>
              <w:right w:val="single" w:sz="8" w:space="0" w:color="auto"/>
            </w:tcBorders>
            <w:shd w:val="clear" w:color="auto" w:fill="FFFFFF" w:themeFill="background1"/>
            <w:vAlign w:val="center"/>
          </w:tcPr>
          <w:p w14:paraId="1B6264DF"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21,700</w:t>
            </w:r>
          </w:p>
        </w:tc>
        <w:tc>
          <w:tcPr>
            <w:tcW w:w="1351" w:type="dxa"/>
            <w:tcBorders>
              <w:top w:val="nil"/>
              <w:left w:val="nil"/>
              <w:bottom w:val="single" w:sz="8" w:space="0" w:color="auto"/>
              <w:right w:val="single" w:sz="8" w:space="0" w:color="auto"/>
            </w:tcBorders>
            <w:shd w:val="clear" w:color="auto" w:fill="FFFFFF" w:themeFill="background1"/>
            <w:vAlign w:val="center"/>
          </w:tcPr>
          <w:p w14:paraId="28C46D65"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16,100</w:t>
            </w:r>
          </w:p>
        </w:tc>
      </w:tr>
      <w:tr w:rsidR="004A07EC" w:rsidRPr="00411BA1" w14:paraId="5BAE4AF4"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72279973" w14:textId="77777777" w:rsidR="004A07EC" w:rsidRPr="00411BA1" w:rsidRDefault="004A07EC" w:rsidP="003F418B">
            <w:pPr>
              <w:spacing w:after="0"/>
              <w:jc w:val="center"/>
              <w:rPr>
                <w:rFonts w:eastAsia="Times New Roman" w:cs="Calibri"/>
                <w:b/>
                <w:bCs/>
                <w:color w:val="auto"/>
                <w:sz w:val="20"/>
                <w:lang w:eastAsia="en-GB"/>
              </w:rPr>
            </w:pPr>
            <w:r w:rsidRPr="00411BA1">
              <w:rPr>
                <w:rFonts w:eastAsia="Times New Roman" w:cs="Calibri"/>
                <w:b/>
                <w:bCs/>
                <w:color w:val="auto"/>
                <w:sz w:val="20"/>
                <w:lang w:eastAsia="en-GB"/>
              </w:rPr>
              <w:t>2028/29</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7436D240" w14:textId="77777777" w:rsidR="004A07EC" w:rsidRPr="00411BA1" w:rsidRDefault="004A07EC" w:rsidP="003F418B">
            <w:pPr>
              <w:spacing w:after="0"/>
              <w:jc w:val="center"/>
              <w:rPr>
                <w:rFonts w:eastAsia="Times New Roman"/>
                <w:color w:val="auto"/>
                <w:sz w:val="20"/>
                <w:lang w:eastAsia="en-GB"/>
              </w:rPr>
            </w:pPr>
            <w:r w:rsidRPr="00411BA1">
              <w:rPr>
                <w:color w:val="000000"/>
                <w:sz w:val="20"/>
              </w:rPr>
              <w:t>13,800</w:t>
            </w:r>
          </w:p>
        </w:tc>
        <w:tc>
          <w:tcPr>
            <w:tcW w:w="1350" w:type="dxa"/>
            <w:tcBorders>
              <w:top w:val="nil"/>
              <w:left w:val="nil"/>
              <w:bottom w:val="single" w:sz="8" w:space="0" w:color="auto"/>
              <w:right w:val="single" w:sz="8" w:space="0" w:color="auto"/>
            </w:tcBorders>
            <w:shd w:val="clear" w:color="auto" w:fill="FFFFFF" w:themeFill="background1"/>
            <w:vAlign w:val="center"/>
          </w:tcPr>
          <w:p w14:paraId="762CDCA7"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3,600</w:t>
            </w:r>
          </w:p>
        </w:tc>
        <w:tc>
          <w:tcPr>
            <w:tcW w:w="1350" w:type="dxa"/>
            <w:tcBorders>
              <w:top w:val="nil"/>
              <w:left w:val="nil"/>
              <w:bottom w:val="single" w:sz="8" w:space="0" w:color="auto"/>
              <w:right w:val="single" w:sz="8" w:space="0" w:color="auto"/>
            </w:tcBorders>
            <w:shd w:val="clear" w:color="auto" w:fill="FFFFFF" w:themeFill="background1"/>
            <w:vAlign w:val="center"/>
          </w:tcPr>
          <w:p w14:paraId="3219F92A"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23,400</w:t>
            </w:r>
          </w:p>
        </w:tc>
        <w:tc>
          <w:tcPr>
            <w:tcW w:w="1350" w:type="dxa"/>
            <w:tcBorders>
              <w:top w:val="nil"/>
              <w:left w:val="nil"/>
              <w:bottom w:val="single" w:sz="8" w:space="0" w:color="auto"/>
              <w:right w:val="single" w:sz="8" w:space="0" w:color="auto"/>
            </w:tcBorders>
            <w:shd w:val="clear" w:color="auto" w:fill="FFFFFF" w:themeFill="background1"/>
            <w:vAlign w:val="center"/>
          </w:tcPr>
          <w:p w14:paraId="29789BE6"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2,100</w:t>
            </w:r>
          </w:p>
        </w:tc>
        <w:tc>
          <w:tcPr>
            <w:tcW w:w="1350" w:type="dxa"/>
            <w:tcBorders>
              <w:top w:val="nil"/>
              <w:left w:val="nil"/>
              <w:bottom w:val="single" w:sz="8" w:space="0" w:color="auto"/>
              <w:right w:val="single" w:sz="8" w:space="0" w:color="auto"/>
            </w:tcBorders>
            <w:shd w:val="clear" w:color="auto" w:fill="FFFFFF" w:themeFill="background1"/>
            <w:vAlign w:val="center"/>
          </w:tcPr>
          <w:p w14:paraId="13017FA7"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22,700</w:t>
            </w:r>
          </w:p>
        </w:tc>
        <w:tc>
          <w:tcPr>
            <w:tcW w:w="1351" w:type="dxa"/>
            <w:tcBorders>
              <w:top w:val="nil"/>
              <w:left w:val="nil"/>
              <w:bottom w:val="single" w:sz="8" w:space="0" w:color="auto"/>
              <w:right w:val="single" w:sz="8" w:space="0" w:color="auto"/>
            </w:tcBorders>
            <w:shd w:val="clear" w:color="auto" w:fill="FFFFFF" w:themeFill="background1"/>
            <w:vAlign w:val="center"/>
          </w:tcPr>
          <w:p w14:paraId="3B8AECE1"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16,900</w:t>
            </w:r>
          </w:p>
        </w:tc>
      </w:tr>
      <w:tr w:rsidR="004A07EC" w:rsidRPr="00411BA1" w14:paraId="37DF0394"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487E5CF7" w14:textId="77777777" w:rsidR="004A07EC" w:rsidRPr="00411BA1" w:rsidRDefault="004A07EC" w:rsidP="003F418B">
            <w:pPr>
              <w:spacing w:after="0"/>
              <w:jc w:val="center"/>
              <w:rPr>
                <w:rFonts w:eastAsia="Times New Roman" w:cs="Calibri"/>
                <w:b/>
                <w:bCs/>
                <w:color w:val="auto"/>
                <w:sz w:val="20"/>
                <w:lang w:eastAsia="en-GB"/>
              </w:rPr>
            </w:pPr>
            <w:r w:rsidRPr="00411BA1">
              <w:rPr>
                <w:rFonts w:eastAsia="Times New Roman" w:cs="Calibri"/>
                <w:b/>
                <w:bCs/>
                <w:color w:val="auto"/>
                <w:sz w:val="20"/>
                <w:lang w:eastAsia="en-GB"/>
              </w:rPr>
              <w:t>2029/30</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32C13FE8" w14:textId="77777777" w:rsidR="004A07EC" w:rsidRPr="00411BA1" w:rsidRDefault="004A07EC" w:rsidP="003F418B">
            <w:pPr>
              <w:spacing w:after="0"/>
              <w:jc w:val="center"/>
              <w:rPr>
                <w:rFonts w:eastAsia="Times New Roman"/>
                <w:color w:val="auto"/>
                <w:sz w:val="20"/>
                <w:lang w:eastAsia="en-GB"/>
              </w:rPr>
            </w:pPr>
            <w:r w:rsidRPr="00411BA1">
              <w:rPr>
                <w:color w:val="000000"/>
                <w:sz w:val="20"/>
              </w:rPr>
              <w:t>14,500</w:t>
            </w:r>
          </w:p>
        </w:tc>
        <w:tc>
          <w:tcPr>
            <w:tcW w:w="1350" w:type="dxa"/>
            <w:tcBorders>
              <w:top w:val="nil"/>
              <w:left w:val="nil"/>
              <w:bottom w:val="single" w:sz="8" w:space="0" w:color="auto"/>
              <w:right w:val="single" w:sz="8" w:space="0" w:color="auto"/>
            </w:tcBorders>
            <w:shd w:val="clear" w:color="auto" w:fill="FFFFFF" w:themeFill="background1"/>
            <w:vAlign w:val="center"/>
          </w:tcPr>
          <w:p w14:paraId="3ABD6865"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3,800</w:t>
            </w:r>
          </w:p>
        </w:tc>
        <w:tc>
          <w:tcPr>
            <w:tcW w:w="1350" w:type="dxa"/>
            <w:tcBorders>
              <w:top w:val="nil"/>
              <w:left w:val="nil"/>
              <w:bottom w:val="single" w:sz="8" w:space="0" w:color="auto"/>
              <w:right w:val="single" w:sz="8" w:space="0" w:color="auto"/>
            </w:tcBorders>
            <w:shd w:val="clear" w:color="auto" w:fill="FFFFFF" w:themeFill="background1"/>
            <w:vAlign w:val="center"/>
          </w:tcPr>
          <w:p w14:paraId="0F5ABE9D"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33,000</w:t>
            </w:r>
          </w:p>
        </w:tc>
        <w:tc>
          <w:tcPr>
            <w:tcW w:w="1350" w:type="dxa"/>
            <w:tcBorders>
              <w:top w:val="nil"/>
              <w:left w:val="nil"/>
              <w:bottom w:val="single" w:sz="8" w:space="0" w:color="auto"/>
              <w:right w:val="single" w:sz="8" w:space="0" w:color="auto"/>
            </w:tcBorders>
            <w:shd w:val="clear" w:color="auto" w:fill="FFFFFF" w:themeFill="background1"/>
            <w:vAlign w:val="center"/>
          </w:tcPr>
          <w:p w14:paraId="274F514C"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2,200</w:t>
            </w:r>
          </w:p>
        </w:tc>
        <w:tc>
          <w:tcPr>
            <w:tcW w:w="1350" w:type="dxa"/>
            <w:tcBorders>
              <w:top w:val="nil"/>
              <w:left w:val="nil"/>
              <w:bottom w:val="single" w:sz="8" w:space="0" w:color="auto"/>
              <w:right w:val="single" w:sz="8" w:space="0" w:color="auto"/>
            </w:tcBorders>
            <w:shd w:val="clear" w:color="auto" w:fill="FFFFFF" w:themeFill="background1"/>
            <w:vAlign w:val="center"/>
          </w:tcPr>
          <w:p w14:paraId="28EE964B"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23,800</w:t>
            </w:r>
          </w:p>
        </w:tc>
        <w:tc>
          <w:tcPr>
            <w:tcW w:w="1351" w:type="dxa"/>
            <w:tcBorders>
              <w:top w:val="nil"/>
              <w:left w:val="nil"/>
              <w:bottom w:val="single" w:sz="8" w:space="0" w:color="auto"/>
              <w:right w:val="single" w:sz="8" w:space="0" w:color="auto"/>
            </w:tcBorders>
            <w:shd w:val="clear" w:color="auto" w:fill="FFFFFF" w:themeFill="background1"/>
            <w:vAlign w:val="center"/>
          </w:tcPr>
          <w:p w14:paraId="6408923C"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17,700</w:t>
            </w:r>
          </w:p>
        </w:tc>
      </w:tr>
      <w:tr w:rsidR="004A07EC" w:rsidRPr="00411BA1" w14:paraId="372240F9"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0199214E" w14:textId="77777777" w:rsidR="004A07EC" w:rsidRPr="00411BA1" w:rsidRDefault="004A07EC" w:rsidP="003F418B">
            <w:pPr>
              <w:spacing w:after="0"/>
              <w:jc w:val="center"/>
              <w:rPr>
                <w:rFonts w:eastAsia="Times New Roman" w:cs="Calibri"/>
                <w:b/>
                <w:bCs/>
                <w:color w:val="auto"/>
                <w:sz w:val="20"/>
                <w:lang w:eastAsia="en-GB"/>
              </w:rPr>
            </w:pPr>
            <w:r w:rsidRPr="00411BA1">
              <w:rPr>
                <w:rFonts w:eastAsia="Times New Roman" w:cs="Calibri"/>
                <w:b/>
                <w:bCs/>
                <w:color w:val="auto"/>
                <w:sz w:val="20"/>
                <w:lang w:eastAsia="en-GB"/>
              </w:rPr>
              <w:t>2030/31</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6A9F6D53" w14:textId="77777777" w:rsidR="004A07EC" w:rsidRPr="00411BA1" w:rsidRDefault="004A07EC" w:rsidP="003F418B">
            <w:pPr>
              <w:spacing w:after="0"/>
              <w:jc w:val="center"/>
              <w:rPr>
                <w:rFonts w:eastAsia="Times New Roman"/>
                <w:color w:val="auto"/>
                <w:sz w:val="20"/>
                <w:lang w:eastAsia="en-GB"/>
              </w:rPr>
            </w:pPr>
            <w:r w:rsidRPr="00411BA1">
              <w:rPr>
                <w:color w:val="000000"/>
                <w:sz w:val="20"/>
              </w:rPr>
              <w:t>15,200</w:t>
            </w:r>
          </w:p>
        </w:tc>
        <w:tc>
          <w:tcPr>
            <w:tcW w:w="1350" w:type="dxa"/>
            <w:tcBorders>
              <w:top w:val="nil"/>
              <w:left w:val="nil"/>
              <w:bottom w:val="single" w:sz="8" w:space="0" w:color="auto"/>
              <w:right w:val="single" w:sz="8" w:space="0" w:color="auto"/>
            </w:tcBorders>
            <w:shd w:val="clear" w:color="auto" w:fill="FFFFFF" w:themeFill="background1"/>
            <w:vAlign w:val="center"/>
          </w:tcPr>
          <w:p w14:paraId="0131E7A4"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4,000</w:t>
            </w:r>
          </w:p>
        </w:tc>
        <w:tc>
          <w:tcPr>
            <w:tcW w:w="1350" w:type="dxa"/>
            <w:tcBorders>
              <w:top w:val="nil"/>
              <w:left w:val="nil"/>
              <w:bottom w:val="single" w:sz="8" w:space="0" w:color="auto"/>
              <w:right w:val="single" w:sz="8" w:space="0" w:color="auto"/>
            </w:tcBorders>
            <w:shd w:val="clear" w:color="auto" w:fill="FFFFFF" w:themeFill="background1"/>
            <w:vAlign w:val="center"/>
          </w:tcPr>
          <w:p w14:paraId="72903F63"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46,400</w:t>
            </w:r>
          </w:p>
        </w:tc>
        <w:tc>
          <w:tcPr>
            <w:tcW w:w="1350" w:type="dxa"/>
            <w:tcBorders>
              <w:top w:val="nil"/>
              <w:left w:val="nil"/>
              <w:bottom w:val="single" w:sz="8" w:space="0" w:color="auto"/>
              <w:right w:val="single" w:sz="8" w:space="0" w:color="auto"/>
            </w:tcBorders>
            <w:shd w:val="clear" w:color="auto" w:fill="FFFFFF" w:themeFill="background1"/>
            <w:vAlign w:val="center"/>
          </w:tcPr>
          <w:p w14:paraId="22DCBDBE"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2,300</w:t>
            </w:r>
          </w:p>
        </w:tc>
        <w:tc>
          <w:tcPr>
            <w:tcW w:w="1350" w:type="dxa"/>
            <w:tcBorders>
              <w:top w:val="nil"/>
              <w:left w:val="nil"/>
              <w:bottom w:val="single" w:sz="8" w:space="0" w:color="auto"/>
              <w:right w:val="single" w:sz="8" w:space="0" w:color="auto"/>
            </w:tcBorders>
            <w:shd w:val="clear" w:color="auto" w:fill="FFFFFF" w:themeFill="background1"/>
            <w:vAlign w:val="center"/>
          </w:tcPr>
          <w:p w14:paraId="0967DBF2"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25,000</w:t>
            </w:r>
          </w:p>
        </w:tc>
        <w:tc>
          <w:tcPr>
            <w:tcW w:w="1351" w:type="dxa"/>
            <w:tcBorders>
              <w:top w:val="nil"/>
              <w:left w:val="nil"/>
              <w:bottom w:val="single" w:sz="8" w:space="0" w:color="auto"/>
              <w:right w:val="single" w:sz="8" w:space="0" w:color="auto"/>
            </w:tcBorders>
            <w:shd w:val="clear" w:color="auto" w:fill="FFFFFF" w:themeFill="background1"/>
            <w:vAlign w:val="center"/>
          </w:tcPr>
          <w:p w14:paraId="706D960C"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18,600</w:t>
            </w:r>
          </w:p>
        </w:tc>
      </w:tr>
      <w:tr w:rsidR="004A07EC" w:rsidRPr="00411BA1" w14:paraId="0231EFCB"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3823589D" w14:textId="77777777" w:rsidR="004A07EC" w:rsidRPr="00411BA1" w:rsidRDefault="004A07EC" w:rsidP="003F418B">
            <w:pPr>
              <w:spacing w:after="0"/>
              <w:jc w:val="center"/>
              <w:rPr>
                <w:rFonts w:eastAsia="Times New Roman" w:cs="Calibri"/>
                <w:b/>
                <w:bCs/>
                <w:color w:val="auto"/>
                <w:sz w:val="20"/>
                <w:lang w:eastAsia="en-GB"/>
              </w:rPr>
            </w:pPr>
            <w:r w:rsidRPr="00411BA1">
              <w:rPr>
                <w:rFonts w:eastAsia="Times New Roman" w:cs="Calibri"/>
                <w:b/>
                <w:bCs/>
                <w:color w:val="auto"/>
                <w:sz w:val="20"/>
                <w:lang w:eastAsia="en-GB"/>
              </w:rPr>
              <w:t>2031/32</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3F0B55CD" w14:textId="77777777" w:rsidR="004A07EC" w:rsidRPr="00411BA1" w:rsidRDefault="004A07EC" w:rsidP="003F418B">
            <w:pPr>
              <w:spacing w:after="0"/>
              <w:jc w:val="center"/>
              <w:rPr>
                <w:rFonts w:eastAsia="Times New Roman"/>
                <w:color w:val="auto"/>
                <w:sz w:val="20"/>
                <w:lang w:eastAsia="en-GB"/>
              </w:rPr>
            </w:pPr>
            <w:r w:rsidRPr="00411BA1">
              <w:rPr>
                <w:color w:val="000000"/>
                <w:sz w:val="20"/>
              </w:rPr>
              <w:t>16,000</w:t>
            </w:r>
          </w:p>
        </w:tc>
        <w:tc>
          <w:tcPr>
            <w:tcW w:w="1350" w:type="dxa"/>
            <w:tcBorders>
              <w:top w:val="nil"/>
              <w:left w:val="nil"/>
              <w:bottom w:val="single" w:sz="8" w:space="0" w:color="auto"/>
              <w:right w:val="single" w:sz="8" w:space="0" w:color="auto"/>
            </w:tcBorders>
            <w:shd w:val="clear" w:color="auto" w:fill="FFFFFF" w:themeFill="background1"/>
            <w:vAlign w:val="center"/>
          </w:tcPr>
          <w:p w14:paraId="30E7805A"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4,200</w:t>
            </w:r>
          </w:p>
        </w:tc>
        <w:tc>
          <w:tcPr>
            <w:tcW w:w="1350" w:type="dxa"/>
            <w:tcBorders>
              <w:top w:val="nil"/>
              <w:left w:val="nil"/>
              <w:bottom w:val="single" w:sz="8" w:space="0" w:color="auto"/>
              <w:right w:val="single" w:sz="8" w:space="0" w:color="auto"/>
            </w:tcBorders>
            <w:shd w:val="clear" w:color="auto" w:fill="FFFFFF" w:themeFill="background1"/>
            <w:vAlign w:val="center"/>
          </w:tcPr>
          <w:p w14:paraId="3C33BF3B"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67,500</w:t>
            </w:r>
          </w:p>
        </w:tc>
        <w:tc>
          <w:tcPr>
            <w:tcW w:w="1350" w:type="dxa"/>
            <w:tcBorders>
              <w:top w:val="nil"/>
              <w:left w:val="nil"/>
              <w:bottom w:val="single" w:sz="8" w:space="0" w:color="auto"/>
              <w:right w:val="single" w:sz="8" w:space="0" w:color="auto"/>
            </w:tcBorders>
            <w:shd w:val="clear" w:color="auto" w:fill="FFFFFF" w:themeFill="background1"/>
            <w:vAlign w:val="center"/>
          </w:tcPr>
          <w:p w14:paraId="283C1FAA"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2,400</w:t>
            </w:r>
          </w:p>
        </w:tc>
        <w:tc>
          <w:tcPr>
            <w:tcW w:w="1350" w:type="dxa"/>
            <w:tcBorders>
              <w:top w:val="nil"/>
              <w:left w:val="nil"/>
              <w:bottom w:val="single" w:sz="8" w:space="0" w:color="auto"/>
              <w:right w:val="single" w:sz="8" w:space="0" w:color="auto"/>
            </w:tcBorders>
            <w:shd w:val="clear" w:color="auto" w:fill="FFFFFF" w:themeFill="background1"/>
            <w:vAlign w:val="center"/>
          </w:tcPr>
          <w:p w14:paraId="25977F72"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26,200</w:t>
            </w:r>
          </w:p>
        </w:tc>
        <w:tc>
          <w:tcPr>
            <w:tcW w:w="1351" w:type="dxa"/>
            <w:tcBorders>
              <w:top w:val="nil"/>
              <w:left w:val="nil"/>
              <w:bottom w:val="single" w:sz="8" w:space="0" w:color="auto"/>
              <w:right w:val="single" w:sz="8" w:space="0" w:color="auto"/>
            </w:tcBorders>
            <w:shd w:val="clear" w:color="auto" w:fill="FFFFFF" w:themeFill="background1"/>
            <w:vAlign w:val="center"/>
          </w:tcPr>
          <w:p w14:paraId="40010537"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19,500</w:t>
            </w:r>
          </w:p>
        </w:tc>
      </w:tr>
      <w:tr w:rsidR="004A07EC" w:rsidRPr="00411BA1" w14:paraId="774317F8"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50C8E5EF" w14:textId="77777777" w:rsidR="004A07EC" w:rsidRPr="00411BA1" w:rsidRDefault="004A07EC" w:rsidP="003F418B">
            <w:pPr>
              <w:spacing w:after="0"/>
              <w:jc w:val="center"/>
              <w:rPr>
                <w:rFonts w:eastAsia="Times New Roman" w:cs="Calibri"/>
                <w:b/>
                <w:bCs/>
                <w:color w:val="auto"/>
                <w:sz w:val="20"/>
                <w:lang w:eastAsia="en-GB"/>
              </w:rPr>
            </w:pPr>
            <w:r w:rsidRPr="00411BA1">
              <w:rPr>
                <w:rFonts w:eastAsia="Times New Roman" w:cs="Calibri"/>
                <w:b/>
                <w:bCs/>
                <w:color w:val="auto"/>
                <w:sz w:val="20"/>
                <w:lang w:eastAsia="en-GB"/>
              </w:rPr>
              <w:t>2032/33</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4629DB97" w14:textId="77777777" w:rsidR="004A07EC" w:rsidRPr="00411BA1" w:rsidRDefault="004A07EC" w:rsidP="003F418B">
            <w:pPr>
              <w:spacing w:after="0"/>
              <w:jc w:val="center"/>
              <w:rPr>
                <w:rFonts w:eastAsia="Times New Roman"/>
                <w:color w:val="auto"/>
                <w:sz w:val="20"/>
                <w:lang w:eastAsia="en-GB"/>
              </w:rPr>
            </w:pPr>
            <w:r w:rsidRPr="00411BA1">
              <w:rPr>
                <w:color w:val="000000"/>
                <w:sz w:val="20"/>
              </w:rPr>
              <w:t>16,800</w:t>
            </w:r>
          </w:p>
        </w:tc>
        <w:tc>
          <w:tcPr>
            <w:tcW w:w="1350" w:type="dxa"/>
            <w:tcBorders>
              <w:top w:val="nil"/>
              <w:left w:val="nil"/>
              <w:bottom w:val="single" w:sz="8" w:space="0" w:color="auto"/>
              <w:right w:val="single" w:sz="8" w:space="0" w:color="auto"/>
            </w:tcBorders>
            <w:shd w:val="clear" w:color="auto" w:fill="FFFFFF" w:themeFill="background1"/>
            <w:vAlign w:val="center"/>
          </w:tcPr>
          <w:p w14:paraId="4EDA1190"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4,400</w:t>
            </w:r>
          </w:p>
        </w:tc>
        <w:tc>
          <w:tcPr>
            <w:tcW w:w="1350" w:type="dxa"/>
            <w:tcBorders>
              <w:top w:val="nil"/>
              <w:left w:val="nil"/>
              <w:bottom w:val="single" w:sz="8" w:space="0" w:color="auto"/>
              <w:right w:val="single" w:sz="8" w:space="0" w:color="auto"/>
            </w:tcBorders>
            <w:shd w:val="clear" w:color="auto" w:fill="FFFFFF" w:themeFill="background1"/>
            <w:vAlign w:val="center"/>
          </w:tcPr>
          <w:p w14:paraId="1EE095C2"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77,000</w:t>
            </w:r>
          </w:p>
        </w:tc>
        <w:tc>
          <w:tcPr>
            <w:tcW w:w="1350" w:type="dxa"/>
            <w:tcBorders>
              <w:top w:val="nil"/>
              <w:left w:val="nil"/>
              <w:bottom w:val="single" w:sz="8" w:space="0" w:color="auto"/>
              <w:right w:val="single" w:sz="8" w:space="0" w:color="auto"/>
            </w:tcBorders>
            <w:shd w:val="clear" w:color="auto" w:fill="FFFFFF" w:themeFill="background1"/>
            <w:vAlign w:val="center"/>
          </w:tcPr>
          <w:p w14:paraId="28DE0227"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2,500</w:t>
            </w:r>
          </w:p>
        </w:tc>
        <w:tc>
          <w:tcPr>
            <w:tcW w:w="1350" w:type="dxa"/>
            <w:tcBorders>
              <w:top w:val="nil"/>
              <w:left w:val="nil"/>
              <w:bottom w:val="single" w:sz="8" w:space="0" w:color="auto"/>
              <w:right w:val="single" w:sz="8" w:space="0" w:color="auto"/>
            </w:tcBorders>
            <w:shd w:val="clear" w:color="auto" w:fill="FFFFFF" w:themeFill="background1"/>
            <w:vAlign w:val="center"/>
          </w:tcPr>
          <w:p w14:paraId="6805615D"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27,500</w:t>
            </w:r>
          </w:p>
        </w:tc>
        <w:tc>
          <w:tcPr>
            <w:tcW w:w="1351" w:type="dxa"/>
            <w:tcBorders>
              <w:top w:val="nil"/>
              <w:left w:val="nil"/>
              <w:bottom w:val="single" w:sz="8" w:space="0" w:color="auto"/>
              <w:right w:val="single" w:sz="8" w:space="0" w:color="auto"/>
            </w:tcBorders>
            <w:shd w:val="clear" w:color="auto" w:fill="FFFFFF" w:themeFill="background1"/>
            <w:vAlign w:val="center"/>
          </w:tcPr>
          <w:p w14:paraId="31752CC4"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20,400</w:t>
            </w:r>
          </w:p>
        </w:tc>
      </w:tr>
      <w:tr w:rsidR="004A07EC" w:rsidRPr="00411BA1" w14:paraId="73409F17"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tcPr>
          <w:p w14:paraId="63FB6AD8" w14:textId="77777777" w:rsidR="004A07EC" w:rsidRPr="00411BA1" w:rsidRDefault="004A07EC" w:rsidP="003F418B">
            <w:pPr>
              <w:spacing w:after="0"/>
              <w:jc w:val="center"/>
              <w:rPr>
                <w:rFonts w:eastAsia="Times New Roman" w:cs="Calibri"/>
                <w:b/>
                <w:bCs/>
                <w:color w:val="auto"/>
                <w:sz w:val="20"/>
                <w:lang w:eastAsia="en-GB"/>
              </w:rPr>
            </w:pPr>
            <w:r w:rsidRPr="00411BA1">
              <w:rPr>
                <w:rFonts w:eastAsia="Times New Roman" w:cs="Calibri"/>
                <w:b/>
                <w:bCs/>
                <w:color w:val="auto"/>
                <w:sz w:val="20"/>
                <w:lang w:eastAsia="en-GB"/>
              </w:rPr>
              <w:t>2033/34</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tcPr>
          <w:p w14:paraId="3F3ED415" w14:textId="77777777" w:rsidR="004A07EC" w:rsidRPr="00411BA1" w:rsidRDefault="004A07EC" w:rsidP="003F418B">
            <w:pPr>
              <w:spacing w:after="0"/>
              <w:jc w:val="center"/>
              <w:rPr>
                <w:color w:val="000000"/>
                <w:sz w:val="20"/>
              </w:rPr>
            </w:pPr>
            <w:r w:rsidRPr="00411BA1">
              <w:rPr>
                <w:color w:val="000000"/>
                <w:sz w:val="20"/>
              </w:rPr>
              <w:t>17,600</w:t>
            </w:r>
          </w:p>
        </w:tc>
        <w:tc>
          <w:tcPr>
            <w:tcW w:w="1350" w:type="dxa"/>
            <w:tcBorders>
              <w:top w:val="nil"/>
              <w:left w:val="nil"/>
              <w:bottom w:val="single" w:sz="8" w:space="0" w:color="auto"/>
              <w:right w:val="single" w:sz="8" w:space="0" w:color="auto"/>
            </w:tcBorders>
            <w:shd w:val="clear" w:color="auto" w:fill="FFFFFF" w:themeFill="background1"/>
            <w:vAlign w:val="center"/>
          </w:tcPr>
          <w:p w14:paraId="685B0DE1" w14:textId="77777777" w:rsidR="004A07EC" w:rsidRPr="00411BA1" w:rsidRDefault="004A07EC" w:rsidP="003F418B">
            <w:pPr>
              <w:spacing w:after="0"/>
              <w:jc w:val="center"/>
              <w:rPr>
                <w:color w:val="000000"/>
                <w:sz w:val="20"/>
              </w:rPr>
            </w:pPr>
            <w:r w:rsidRPr="00411BA1">
              <w:rPr>
                <w:color w:val="000000"/>
                <w:sz w:val="20"/>
              </w:rPr>
              <w:t>4,600</w:t>
            </w:r>
          </w:p>
        </w:tc>
        <w:tc>
          <w:tcPr>
            <w:tcW w:w="1350" w:type="dxa"/>
            <w:tcBorders>
              <w:top w:val="nil"/>
              <w:left w:val="nil"/>
              <w:bottom w:val="single" w:sz="8" w:space="0" w:color="auto"/>
              <w:right w:val="single" w:sz="8" w:space="0" w:color="auto"/>
            </w:tcBorders>
            <w:shd w:val="clear" w:color="auto" w:fill="FFFFFF" w:themeFill="background1"/>
            <w:vAlign w:val="center"/>
          </w:tcPr>
          <w:p w14:paraId="0830724B" w14:textId="77777777" w:rsidR="004A07EC" w:rsidRPr="00411BA1" w:rsidRDefault="004A07EC" w:rsidP="003F418B">
            <w:pPr>
              <w:spacing w:after="0"/>
              <w:jc w:val="center"/>
              <w:rPr>
                <w:color w:val="000000"/>
                <w:sz w:val="20"/>
              </w:rPr>
            </w:pPr>
            <w:r w:rsidRPr="00411BA1">
              <w:rPr>
                <w:color w:val="000000"/>
                <w:sz w:val="20"/>
              </w:rPr>
              <w:t>78,400</w:t>
            </w:r>
          </w:p>
        </w:tc>
        <w:tc>
          <w:tcPr>
            <w:tcW w:w="1350" w:type="dxa"/>
            <w:tcBorders>
              <w:top w:val="nil"/>
              <w:left w:val="nil"/>
              <w:bottom w:val="single" w:sz="8" w:space="0" w:color="auto"/>
              <w:right w:val="single" w:sz="8" w:space="0" w:color="auto"/>
            </w:tcBorders>
            <w:shd w:val="clear" w:color="auto" w:fill="FFFFFF" w:themeFill="background1"/>
            <w:vAlign w:val="center"/>
          </w:tcPr>
          <w:p w14:paraId="459D5CE5" w14:textId="77777777" w:rsidR="004A07EC" w:rsidRPr="00411BA1" w:rsidRDefault="004A07EC" w:rsidP="003F418B">
            <w:pPr>
              <w:spacing w:after="0"/>
              <w:jc w:val="center"/>
              <w:rPr>
                <w:color w:val="000000"/>
                <w:sz w:val="20"/>
              </w:rPr>
            </w:pPr>
            <w:r w:rsidRPr="00411BA1">
              <w:rPr>
                <w:rFonts w:eastAsia="Times New Roman"/>
                <w:color w:val="auto"/>
                <w:sz w:val="20"/>
                <w:lang w:eastAsia="en-GB"/>
              </w:rPr>
              <w:t>2,700</w:t>
            </w:r>
          </w:p>
        </w:tc>
        <w:tc>
          <w:tcPr>
            <w:tcW w:w="1350" w:type="dxa"/>
            <w:tcBorders>
              <w:top w:val="nil"/>
              <w:left w:val="nil"/>
              <w:bottom w:val="single" w:sz="8" w:space="0" w:color="auto"/>
              <w:right w:val="single" w:sz="8" w:space="0" w:color="auto"/>
            </w:tcBorders>
            <w:shd w:val="clear" w:color="auto" w:fill="FFFFFF" w:themeFill="background1"/>
            <w:vAlign w:val="center"/>
          </w:tcPr>
          <w:p w14:paraId="41019921" w14:textId="77777777" w:rsidR="004A07EC" w:rsidRPr="00411BA1" w:rsidRDefault="004A07EC" w:rsidP="003F418B">
            <w:pPr>
              <w:spacing w:after="0"/>
              <w:jc w:val="center"/>
              <w:rPr>
                <w:color w:val="000000"/>
                <w:sz w:val="20"/>
              </w:rPr>
            </w:pPr>
            <w:r w:rsidRPr="00411BA1">
              <w:rPr>
                <w:color w:val="000000"/>
                <w:sz w:val="20"/>
              </w:rPr>
              <w:t>28,900</w:t>
            </w:r>
          </w:p>
        </w:tc>
        <w:tc>
          <w:tcPr>
            <w:tcW w:w="1351" w:type="dxa"/>
            <w:tcBorders>
              <w:top w:val="nil"/>
              <w:left w:val="nil"/>
              <w:bottom w:val="single" w:sz="8" w:space="0" w:color="auto"/>
              <w:right w:val="single" w:sz="8" w:space="0" w:color="auto"/>
            </w:tcBorders>
            <w:shd w:val="clear" w:color="auto" w:fill="FFFFFF" w:themeFill="background1"/>
            <w:vAlign w:val="center"/>
          </w:tcPr>
          <w:p w14:paraId="755C5BF4" w14:textId="77777777" w:rsidR="004A07EC" w:rsidRPr="00411BA1" w:rsidRDefault="004A07EC" w:rsidP="003F418B">
            <w:pPr>
              <w:spacing w:after="0"/>
              <w:jc w:val="center"/>
              <w:rPr>
                <w:color w:val="000000"/>
                <w:sz w:val="20"/>
              </w:rPr>
            </w:pPr>
            <w:r w:rsidRPr="00411BA1">
              <w:rPr>
                <w:color w:val="000000"/>
                <w:sz w:val="20"/>
              </w:rPr>
              <w:t>21,500</w:t>
            </w:r>
          </w:p>
        </w:tc>
      </w:tr>
      <w:tr w:rsidR="004A07EC" w:rsidRPr="00411BA1" w14:paraId="7D28FE5D" w14:textId="77777777" w:rsidTr="005B5899">
        <w:trPr>
          <w:trHeight w:val="537"/>
        </w:trPr>
        <w:tc>
          <w:tcPr>
            <w:tcW w:w="939" w:type="dxa"/>
            <w:tcBorders>
              <w:top w:val="nil"/>
              <w:left w:val="single" w:sz="8" w:space="0" w:color="auto"/>
              <w:bottom w:val="single" w:sz="8" w:space="0" w:color="auto"/>
              <w:right w:val="single" w:sz="8" w:space="0" w:color="auto"/>
            </w:tcBorders>
            <w:shd w:val="clear" w:color="auto" w:fill="00464D" w:themeFill="accent1" w:themeFillShade="80"/>
            <w:vAlign w:val="center"/>
            <w:hideMark/>
          </w:tcPr>
          <w:p w14:paraId="11243483" w14:textId="77777777" w:rsidR="004A07EC" w:rsidRPr="00411BA1" w:rsidRDefault="004A07EC" w:rsidP="003F418B">
            <w:pPr>
              <w:spacing w:after="0"/>
              <w:jc w:val="center"/>
              <w:rPr>
                <w:rFonts w:eastAsia="Times New Roman" w:cs="Calibri"/>
                <w:b/>
                <w:bCs/>
                <w:color w:val="auto"/>
                <w:sz w:val="20"/>
                <w:lang w:eastAsia="en-GB"/>
              </w:rPr>
            </w:pPr>
            <w:r w:rsidRPr="00411BA1">
              <w:rPr>
                <w:rFonts w:eastAsia="Times New Roman" w:cs="Calibri"/>
                <w:b/>
                <w:bCs/>
                <w:color w:val="auto"/>
                <w:sz w:val="20"/>
                <w:lang w:eastAsia="en-GB"/>
              </w:rPr>
              <w:t>2034/35</w:t>
            </w:r>
          </w:p>
        </w:tc>
        <w:tc>
          <w:tcPr>
            <w:tcW w:w="1350" w:type="dxa"/>
            <w:tcBorders>
              <w:top w:val="nil"/>
              <w:left w:val="single" w:sz="8" w:space="0" w:color="auto"/>
              <w:bottom w:val="single" w:sz="8" w:space="0" w:color="auto"/>
              <w:right w:val="single" w:sz="8" w:space="0" w:color="auto"/>
            </w:tcBorders>
            <w:shd w:val="clear" w:color="auto" w:fill="FFFFFF" w:themeFill="background1"/>
            <w:vAlign w:val="center"/>
            <w:hideMark/>
          </w:tcPr>
          <w:p w14:paraId="34FF4282" w14:textId="77777777" w:rsidR="004A07EC" w:rsidRPr="00411BA1" w:rsidRDefault="004A07EC" w:rsidP="003F418B">
            <w:pPr>
              <w:spacing w:after="0"/>
              <w:jc w:val="center"/>
              <w:rPr>
                <w:rFonts w:eastAsia="Times New Roman"/>
                <w:color w:val="auto"/>
                <w:sz w:val="20"/>
                <w:lang w:eastAsia="en-GB"/>
              </w:rPr>
            </w:pPr>
            <w:r w:rsidRPr="00411BA1">
              <w:rPr>
                <w:color w:val="000000"/>
                <w:sz w:val="20"/>
              </w:rPr>
              <w:t>18,500</w:t>
            </w:r>
          </w:p>
        </w:tc>
        <w:tc>
          <w:tcPr>
            <w:tcW w:w="1350" w:type="dxa"/>
            <w:tcBorders>
              <w:top w:val="nil"/>
              <w:left w:val="nil"/>
              <w:bottom w:val="single" w:sz="8" w:space="0" w:color="auto"/>
              <w:right w:val="single" w:sz="8" w:space="0" w:color="auto"/>
            </w:tcBorders>
            <w:shd w:val="clear" w:color="auto" w:fill="FFFFFF" w:themeFill="background1"/>
            <w:vAlign w:val="center"/>
          </w:tcPr>
          <w:p w14:paraId="3FA7428E"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4,800</w:t>
            </w:r>
          </w:p>
        </w:tc>
        <w:tc>
          <w:tcPr>
            <w:tcW w:w="1350" w:type="dxa"/>
            <w:tcBorders>
              <w:top w:val="nil"/>
              <w:left w:val="nil"/>
              <w:bottom w:val="single" w:sz="8" w:space="0" w:color="auto"/>
              <w:right w:val="single" w:sz="8" w:space="0" w:color="auto"/>
            </w:tcBorders>
            <w:shd w:val="clear" w:color="auto" w:fill="FFFFFF" w:themeFill="background1"/>
            <w:vAlign w:val="center"/>
          </w:tcPr>
          <w:p w14:paraId="0EB10673"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83,700</w:t>
            </w:r>
          </w:p>
        </w:tc>
        <w:tc>
          <w:tcPr>
            <w:tcW w:w="1350" w:type="dxa"/>
            <w:tcBorders>
              <w:top w:val="nil"/>
              <w:left w:val="nil"/>
              <w:bottom w:val="single" w:sz="8" w:space="0" w:color="auto"/>
              <w:right w:val="single" w:sz="8" w:space="0" w:color="auto"/>
            </w:tcBorders>
            <w:shd w:val="clear" w:color="auto" w:fill="FFFFFF" w:themeFill="background1"/>
            <w:vAlign w:val="center"/>
          </w:tcPr>
          <w:p w14:paraId="38511A7B"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2,800</w:t>
            </w:r>
          </w:p>
        </w:tc>
        <w:tc>
          <w:tcPr>
            <w:tcW w:w="1350" w:type="dxa"/>
            <w:tcBorders>
              <w:top w:val="nil"/>
              <w:left w:val="nil"/>
              <w:bottom w:val="single" w:sz="8" w:space="0" w:color="auto"/>
              <w:right w:val="single" w:sz="8" w:space="0" w:color="auto"/>
            </w:tcBorders>
            <w:shd w:val="clear" w:color="auto" w:fill="FFFFFF" w:themeFill="background1"/>
            <w:vAlign w:val="center"/>
          </w:tcPr>
          <w:p w14:paraId="1A71BD13"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30,300</w:t>
            </w:r>
          </w:p>
        </w:tc>
        <w:tc>
          <w:tcPr>
            <w:tcW w:w="1351" w:type="dxa"/>
            <w:tcBorders>
              <w:top w:val="nil"/>
              <w:left w:val="nil"/>
              <w:bottom w:val="single" w:sz="8" w:space="0" w:color="auto"/>
              <w:right w:val="single" w:sz="8" w:space="0" w:color="auto"/>
            </w:tcBorders>
            <w:shd w:val="clear" w:color="auto" w:fill="FFFFFF" w:themeFill="background1"/>
            <w:vAlign w:val="center"/>
          </w:tcPr>
          <w:p w14:paraId="186F33F5" w14:textId="77777777" w:rsidR="004A07EC" w:rsidRPr="00411BA1" w:rsidRDefault="004A07EC" w:rsidP="003F418B">
            <w:pPr>
              <w:spacing w:after="0"/>
              <w:jc w:val="center"/>
              <w:rPr>
                <w:rFonts w:eastAsia="Times New Roman"/>
                <w:color w:val="auto"/>
                <w:sz w:val="20"/>
                <w:lang w:eastAsia="en-GB"/>
              </w:rPr>
            </w:pPr>
            <w:r w:rsidRPr="00411BA1">
              <w:rPr>
                <w:rFonts w:eastAsia="Times New Roman"/>
                <w:color w:val="auto"/>
                <w:sz w:val="20"/>
                <w:lang w:eastAsia="en-GB"/>
              </w:rPr>
              <w:t>22,500</w:t>
            </w:r>
          </w:p>
        </w:tc>
      </w:tr>
    </w:tbl>
    <w:p w14:paraId="23803448" w14:textId="498232F1" w:rsidR="004A07EC" w:rsidRPr="004A07EC" w:rsidRDefault="004A07EC" w:rsidP="004A07EC">
      <w:pPr>
        <w:spacing w:after="120" w:line="278" w:lineRule="auto"/>
        <w:jc w:val="right"/>
        <w:rPr>
          <w:color w:val="6D6E71" w:themeColor="accent3"/>
          <w:sz w:val="18"/>
          <w:szCs w:val="16"/>
        </w:rPr>
      </w:pPr>
      <w:r w:rsidRPr="00411BA1">
        <w:rPr>
          <w:color w:val="6D6E71" w:themeColor="accent3"/>
          <w:sz w:val="18"/>
          <w:szCs w:val="16"/>
        </w:rPr>
        <w:t xml:space="preserve">Source: </w:t>
      </w:r>
      <w:r>
        <w:rPr>
          <w:color w:val="6D6E71" w:themeColor="accent3"/>
          <w:sz w:val="18"/>
          <w:szCs w:val="16"/>
        </w:rPr>
        <w:t>Various</w:t>
      </w:r>
      <w:r w:rsidRPr="00411BA1">
        <w:rPr>
          <w:color w:val="6D6E71" w:themeColor="accent3"/>
          <w:sz w:val="18"/>
          <w:szCs w:val="16"/>
        </w:rPr>
        <w:t>, Cebr analysis</w:t>
      </w:r>
    </w:p>
    <w:p w14:paraId="11083339" w14:textId="22E92C68" w:rsidR="004A07EC" w:rsidRDefault="004A07EC" w:rsidP="004A07EC">
      <w:pPr>
        <w:pStyle w:val="Subsectiontitle"/>
      </w:pPr>
      <w:r w:rsidRPr="004A07EC">
        <w:br w:type="page"/>
      </w:r>
    </w:p>
    <w:p w14:paraId="02A1C782" w14:textId="2C840826" w:rsidR="004A07EC" w:rsidRDefault="004A07EC" w:rsidP="00EA296F">
      <w:pPr>
        <w:spacing w:after="120" w:line="278" w:lineRule="auto"/>
        <w:jc w:val="both"/>
      </w:pPr>
      <w:r>
        <w:lastRenderedPageBreak/>
        <w:t xml:space="preserve">On heat pumps specifically, the installation of heat pumps under the base scenario is designed to follow the CCC Balanced Pathway forecasts. </w:t>
      </w:r>
      <w:r w:rsidR="005D1E34">
        <w:t>In turn</w:t>
      </w:r>
      <w:r>
        <w:t>, the high-demand and low-demand scenarios model the demand for heat pump installations under differing assumptions</w:t>
      </w:r>
      <w:r w:rsidR="00BB5204">
        <w:t xml:space="preserve"> as given on pages </w:t>
      </w:r>
      <w:r w:rsidR="00F428DC">
        <w:t>19-21</w:t>
      </w:r>
      <w:r>
        <w:t xml:space="preserve">. </w:t>
      </w:r>
      <w:r w:rsidR="003D58FC">
        <w:t xml:space="preserve">All scenario forecasts are rooted in current outturn data for heat pump deployment in Wales. Approximately 7,000 heat pumps were deployed in Wales in 2024/25, with current outturn data for FY 2025/26 showing </w:t>
      </w:r>
      <w:r w:rsidR="00D13180">
        <w:t>approximately</w:t>
      </w:r>
      <w:r w:rsidR="003D58FC">
        <w:t xml:space="preserve"> 5,000 installations as of </w:t>
      </w:r>
      <w:r w:rsidR="00D13180">
        <w:t>the end of December</w:t>
      </w:r>
      <w:r w:rsidR="003D58FC">
        <w:t xml:space="preserve"> </w:t>
      </w:r>
      <w:r w:rsidR="00D13180">
        <w:t>2025</w:t>
      </w:r>
      <w:r w:rsidR="003D58FC">
        <w:t xml:space="preserve">. </w:t>
      </w:r>
      <w:r w:rsidR="00EA296F">
        <w:t>Consequently, t</w:t>
      </w:r>
      <w:r w:rsidR="003D58FC">
        <w:t xml:space="preserve">he low demand scenario, designed to show the short run progression of current trends, </w:t>
      </w:r>
      <w:r w:rsidR="00EA296F">
        <w:t xml:space="preserve">indicates </w:t>
      </w:r>
      <w:r w:rsidR="003D58FC">
        <w:t xml:space="preserve">that heat pump installation progress </w:t>
      </w:r>
      <w:r w:rsidR="00EA296F">
        <w:t>in 2025/26 specifically</w:t>
      </w:r>
      <w:r w:rsidR="003D58FC">
        <w:t xml:space="preserve"> is expected to be broadly aligned </w:t>
      </w:r>
      <w:r w:rsidR="00EA296F">
        <w:t xml:space="preserve">with </w:t>
      </w:r>
      <w:r w:rsidR="003D58FC">
        <w:t>the CCC</w:t>
      </w:r>
      <w:r w:rsidR="00EA296F">
        <w:t xml:space="preserve"> pathway, as illustrated </w:t>
      </w:r>
      <w:r w:rsidR="003D58FC">
        <w:t xml:space="preserve">in the base scenario. </w:t>
      </w:r>
      <w:r w:rsidR="00EA296F">
        <w:t>That said</w:t>
      </w:r>
      <w:r w:rsidR="003D58FC">
        <w:t xml:space="preserve">, while the CCC’s </w:t>
      </w:r>
      <w:r w:rsidR="00EA296F">
        <w:t>pathway sees an acceleration</w:t>
      </w:r>
      <w:r w:rsidR="003D58FC">
        <w:t xml:space="preserve"> </w:t>
      </w:r>
      <w:r w:rsidR="00D13180">
        <w:t xml:space="preserve">in </w:t>
      </w:r>
      <w:r w:rsidR="003D58FC">
        <w:t xml:space="preserve">future installations, the low demand scenario sees this stall. </w:t>
      </w:r>
      <w:r w:rsidR="00054763">
        <w:t xml:space="preserve">The progression of heat pump installations </w:t>
      </w:r>
      <w:r>
        <w:t xml:space="preserve">under the different scenario assumptions is given in Table </w:t>
      </w:r>
      <w:r w:rsidR="00167C62">
        <w:t>7</w:t>
      </w:r>
      <w:r>
        <w:t xml:space="preserve"> and Figure </w:t>
      </w:r>
      <w:r w:rsidR="00167C62">
        <w:t>2</w:t>
      </w:r>
      <w:r>
        <w:t>.</w:t>
      </w:r>
    </w:p>
    <w:p w14:paraId="136F89BD" w14:textId="41A8884C" w:rsidR="004A07EC" w:rsidRDefault="004A07EC" w:rsidP="004A07EC">
      <w:r w:rsidRPr="00411BA1">
        <w:rPr>
          <w:color w:val="6D6E71" w:themeColor="accent3"/>
          <w:sz w:val="18"/>
          <w:szCs w:val="14"/>
        </w:rPr>
        <w:t xml:space="preserve">Table </w:t>
      </w:r>
      <w:r w:rsidRPr="00411BA1">
        <w:rPr>
          <w:color w:val="6D6E71" w:themeColor="accent3"/>
          <w:sz w:val="18"/>
          <w:szCs w:val="14"/>
        </w:rPr>
        <w:fldChar w:fldCharType="begin"/>
      </w:r>
      <w:r w:rsidRPr="00411BA1">
        <w:rPr>
          <w:color w:val="6D6E71" w:themeColor="accent3"/>
          <w:sz w:val="18"/>
          <w:szCs w:val="14"/>
        </w:rPr>
        <w:instrText xml:space="preserve"> SEQ Table \* ARABIC </w:instrText>
      </w:r>
      <w:r w:rsidRPr="00411BA1">
        <w:rPr>
          <w:color w:val="6D6E71" w:themeColor="accent3"/>
          <w:sz w:val="18"/>
          <w:szCs w:val="14"/>
        </w:rPr>
        <w:fldChar w:fldCharType="separate"/>
      </w:r>
      <w:r w:rsidR="004775B5">
        <w:rPr>
          <w:noProof/>
          <w:color w:val="6D6E71" w:themeColor="accent3"/>
          <w:sz w:val="18"/>
          <w:szCs w:val="14"/>
        </w:rPr>
        <w:t>7</w:t>
      </w:r>
      <w:r w:rsidRPr="00411BA1">
        <w:rPr>
          <w:color w:val="6D6E71" w:themeColor="accent3"/>
          <w:sz w:val="18"/>
          <w:szCs w:val="14"/>
        </w:rPr>
        <w:fldChar w:fldCharType="end"/>
      </w:r>
      <w:r>
        <w:rPr>
          <w:color w:val="6D6E71" w:themeColor="accent3"/>
          <w:sz w:val="18"/>
          <w:szCs w:val="14"/>
        </w:rPr>
        <w:t>: Demand forecasts for heat pump installations per year under the three scenario assumptions (rounded to nearest 100s – totals may differ due to rounding)</w:t>
      </w:r>
    </w:p>
    <w:tbl>
      <w:tblPr>
        <w:tblW w:w="5000" w:type="pct"/>
        <w:jc w:val="center"/>
        <w:tblLook w:val="04A0" w:firstRow="1" w:lastRow="0" w:firstColumn="1" w:lastColumn="0" w:noHBand="0" w:noVBand="1"/>
        <w:tblCaption w:val="Table 7: Demand forecasts for heat pump installations per year under the three scenario assumptions (rounded to nearest 100s – totals may differ due to rounding)"/>
        <w:tblDescription w:val="Table showing projected annual demand for heat pump installations in Wales under base, high-demand, and low-demand scenarios from 2025/26 to 2034/35."/>
      </w:tblPr>
      <w:tblGrid>
        <w:gridCol w:w="2260"/>
        <w:gridCol w:w="2261"/>
        <w:gridCol w:w="2261"/>
        <w:gridCol w:w="2268"/>
      </w:tblGrid>
      <w:tr w:rsidR="004A07EC" w:rsidRPr="00890E81" w14:paraId="5308BFCE" w14:textId="77777777" w:rsidTr="004A07EC">
        <w:trPr>
          <w:trHeight w:val="373"/>
          <w:jc w:val="center"/>
        </w:trPr>
        <w:tc>
          <w:tcPr>
            <w:tcW w:w="1249" w:type="pct"/>
            <w:tcBorders>
              <w:top w:val="nil"/>
              <w:left w:val="nil"/>
              <w:bottom w:val="nil"/>
              <w:right w:val="nil"/>
            </w:tcBorders>
            <w:noWrap/>
            <w:vAlign w:val="center"/>
            <w:hideMark/>
          </w:tcPr>
          <w:p w14:paraId="3903E464" w14:textId="77777777" w:rsidR="004A07EC" w:rsidRPr="00890E81" w:rsidRDefault="004A07EC" w:rsidP="003F418B">
            <w:pPr>
              <w:spacing w:after="0"/>
              <w:rPr>
                <w:rFonts w:eastAsia="Times New Roman"/>
                <w:color w:val="auto"/>
                <w:sz w:val="20"/>
                <w:lang w:eastAsia="en-GB"/>
              </w:rPr>
            </w:pPr>
          </w:p>
        </w:tc>
        <w:tc>
          <w:tcPr>
            <w:tcW w:w="3751" w:type="pct"/>
            <w:gridSpan w:val="3"/>
            <w:tcBorders>
              <w:top w:val="single" w:sz="8" w:space="0" w:color="auto"/>
              <w:left w:val="single" w:sz="8" w:space="0" w:color="auto"/>
              <w:bottom w:val="single" w:sz="8" w:space="0" w:color="auto"/>
              <w:right w:val="nil"/>
            </w:tcBorders>
            <w:shd w:val="clear" w:color="000000" w:fill="00464D"/>
            <w:vAlign w:val="center"/>
            <w:hideMark/>
          </w:tcPr>
          <w:p w14:paraId="655D9ACE" w14:textId="77777777" w:rsidR="004A07EC" w:rsidRPr="00890E81" w:rsidRDefault="004A07EC" w:rsidP="003F418B">
            <w:pPr>
              <w:spacing w:after="0"/>
              <w:jc w:val="center"/>
              <w:rPr>
                <w:rFonts w:eastAsia="Times New Roman" w:cs="Arial"/>
                <w:b/>
                <w:bCs/>
                <w:color w:val="FFFFFF"/>
                <w:sz w:val="20"/>
                <w:lang w:eastAsia="en-GB"/>
              </w:rPr>
            </w:pPr>
            <w:r w:rsidRPr="00890E81">
              <w:rPr>
                <w:rFonts w:eastAsia="Times New Roman" w:cs="Arial"/>
                <w:b/>
                <w:bCs/>
                <w:color w:val="FFFFFF"/>
                <w:sz w:val="20"/>
                <w:lang w:eastAsia="en-GB"/>
              </w:rPr>
              <w:t>Scenario</w:t>
            </w:r>
          </w:p>
        </w:tc>
      </w:tr>
      <w:tr w:rsidR="004A07EC" w:rsidRPr="00890E81" w14:paraId="48F4B6C8" w14:textId="77777777" w:rsidTr="004A07EC">
        <w:trPr>
          <w:trHeight w:val="659"/>
          <w:jc w:val="center"/>
        </w:trPr>
        <w:tc>
          <w:tcPr>
            <w:tcW w:w="1249" w:type="pct"/>
            <w:tcBorders>
              <w:top w:val="nil"/>
              <w:left w:val="nil"/>
              <w:bottom w:val="nil"/>
              <w:right w:val="nil"/>
            </w:tcBorders>
            <w:noWrap/>
            <w:vAlign w:val="center"/>
            <w:hideMark/>
          </w:tcPr>
          <w:p w14:paraId="11B31C0E" w14:textId="77777777" w:rsidR="004A07EC" w:rsidRPr="00890E81" w:rsidRDefault="004A07EC" w:rsidP="003F418B">
            <w:pPr>
              <w:spacing w:after="0"/>
              <w:jc w:val="center"/>
              <w:rPr>
                <w:rFonts w:eastAsia="Times New Roman" w:cs="Arial"/>
                <w:b/>
                <w:bCs/>
                <w:color w:val="FFFFFF"/>
                <w:sz w:val="20"/>
                <w:lang w:eastAsia="en-GB"/>
              </w:rPr>
            </w:pPr>
          </w:p>
        </w:tc>
        <w:tc>
          <w:tcPr>
            <w:tcW w:w="1249" w:type="pct"/>
            <w:tcBorders>
              <w:top w:val="nil"/>
              <w:left w:val="nil"/>
              <w:bottom w:val="single" w:sz="8" w:space="0" w:color="auto"/>
              <w:right w:val="single" w:sz="8" w:space="0" w:color="auto"/>
            </w:tcBorders>
            <w:shd w:val="clear" w:color="000000" w:fill="00464D"/>
            <w:vAlign w:val="center"/>
            <w:hideMark/>
          </w:tcPr>
          <w:p w14:paraId="1F47ECE0" w14:textId="77777777" w:rsidR="004A07EC" w:rsidRPr="00890E81" w:rsidRDefault="004A07EC" w:rsidP="003F418B">
            <w:pPr>
              <w:spacing w:after="0"/>
              <w:jc w:val="center"/>
              <w:rPr>
                <w:rFonts w:eastAsia="Times New Roman" w:cs="Arial"/>
                <w:b/>
                <w:bCs/>
                <w:color w:val="FFFFFF"/>
                <w:sz w:val="20"/>
                <w:lang w:eastAsia="en-GB"/>
              </w:rPr>
            </w:pPr>
            <w:r w:rsidRPr="00890E81">
              <w:rPr>
                <w:rFonts w:eastAsia="Times New Roman" w:cs="Arial"/>
                <w:b/>
                <w:bCs/>
                <w:color w:val="FFFFFF"/>
                <w:sz w:val="20"/>
                <w:lang w:eastAsia="en-GB"/>
              </w:rPr>
              <w:t>Base</w:t>
            </w:r>
          </w:p>
        </w:tc>
        <w:tc>
          <w:tcPr>
            <w:tcW w:w="1249" w:type="pct"/>
            <w:tcBorders>
              <w:top w:val="nil"/>
              <w:left w:val="nil"/>
              <w:bottom w:val="single" w:sz="8" w:space="0" w:color="auto"/>
              <w:right w:val="single" w:sz="8" w:space="0" w:color="auto"/>
            </w:tcBorders>
            <w:shd w:val="clear" w:color="000000" w:fill="00464D"/>
            <w:vAlign w:val="center"/>
            <w:hideMark/>
          </w:tcPr>
          <w:p w14:paraId="25571229" w14:textId="77777777" w:rsidR="004A07EC" w:rsidRPr="00890E81" w:rsidRDefault="004A07EC" w:rsidP="003F418B">
            <w:pPr>
              <w:spacing w:after="0"/>
              <w:jc w:val="center"/>
              <w:rPr>
                <w:rFonts w:eastAsia="Times New Roman" w:cs="Arial"/>
                <w:b/>
                <w:bCs/>
                <w:color w:val="FFFFFF"/>
                <w:sz w:val="20"/>
                <w:lang w:eastAsia="en-GB"/>
              </w:rPr>
            </w:pPr>
            <w:r w:rsidRPr="00890E81">
              <w:rPr>
                <w:rFonts w:eastAsia="Times New Roman" w:cs="Arial"/>
                <w:b/>
                <w:bCs/>
                <w:color w:val="FFFFFF"/>
                <w:sz w:val="20"/>
                <w:lang w:eastAsia="en-GB"/>
              </w:rPr>
              <w:t>High Demand</w:t>
            </w:r>
          </w:p>
        </w:tc>
        <w:tc>
          <w:tcPr>
            <w:tcW w:w="1253" w:type="pct"/>
            <w:tcBorders>
              <w:top w:val="nil"/>
              <w:left w:val="nil"/>
              <w:bottom w:val="single" w:sz="8" w:space="0" w:color="auto"/>
              <w:right w:val="single" w:sz="8" w:space="0" w:color="auto"/>
            </w:tcBorders>
            <w:shd w:val="clear" w:color="000000" w:fill="00464D"/>
            <w:vAlign w:val="center"/>
            <w:hideMark/>
          </w:tcPr>
          <w:p w14:paraId="18607EFF" w14:textId="77777777" w:rsidR="004A07EC" w:rsidRPr="00890E81" w:rsidRDefault="004A07EC" w:rsidP="003F418B">
            <w:pPr>
              <w:spacing w:after="0"/>
              <w:jc w:val="center"/>
              <w:rPr>
                <w:rFonts w:eastAsia="Times New Roman" w:cs="Arial"/>
                <w:b/>
                <w:bCs/>
                <w:color w:val="FFFFFF"/>
                <w:sz w:val="20"/>
                <w:lang w:eastAsia="en-GB"/>
              </w:rPr>
            </w:pPr>
            <w:r w:rsidRPr="00890E81">
              <w:rPr>
                <w:rFonts w:eastAsia="Times New Roman" w:cs="Arial"/>
                <w:b/>
                <w:bCs/>
                <w:color w:val="FFFFFF"/>
                <w:sz w:val="20"/>
                <w:lang w:eastAsia="en-GB"/>
              </w:rPr>
              <w:t>Low Demand</w:t>
            </w:r>
          </w:p>
        </w:tc>
      </w:tr>
      <w:tr w:rsidR="004A07EC" w:rsidRPr="00890E81" w14:paraId="3208624F" w14:textId="77777777" w:rsidTr="00890E81">
        <w:trPr>
          <w:trHeight w:val="283"/>
          <w:jc w:val="center"/>
        </w:trPr>
        <w:tc>
          <w:tcPr>
            <w:tcW w:w="1249" w:type="pct"/>
            <w:tcBorders>
              <w:top w:val="single" w:sz="8" w:space="0" w:color="auto"/>
              <w:left w:val="single" w:sz="8" w:space="0" w:color="auto"/>
              <w:bottom w:val="single" w:sz="8" w:space="0" w:color="auto"/>
              <w:right w:val="single" w:sz="8" w:space="0" w:color="auto"/>
            </w:tcBorders>
            <w:shd w:val="clear" w:color="000000" w:fill="00464D"/>
            <w:vAlign w:val="center"/>
            <w:hideMark/>
          </w:tcPr>
          <w:p w14:paraId="6F14EEB2" w14:textId="77777777" w:rsidR="004A07EC" w:rsidRPr="00890E81" w:rsidRDefault="004A07EC" w:rsidP="003F418B">
            <w:pPr>
              <w:spacing w:after="0"/>
              <w:jc w:val="center"/>
              <w:rPr>
                <w:rFonts w:eastAsia="Times New Roman" w:cs="Arial"/>
                <w:b/>
                <w:bCs/>
                <w:color w:val="FFFFFF"/>
                <w:sz w:val="20"/>
                <w:lang w:eastAsia="en-GB"/>
              </w:rPr>
            </w:pPr>
            <w:r w:rsidRPr="00890E81">
              <w:rPr>
                <w:rFonts w:eastAsia="Times New Roman" w:cs="Arial"/>
                <w:b/>
                <w:bCs/>
                <w:color w:val="FFFFFF"/>
                <w:sz w:val="20"/>
                <w:lang w:eastAsia="en-GB"/>
              </w:rPr>
              <w:t>2025/26</w:t>
            </w:r>
          </w:p>
        </w:tc>
        <w:tc>
          <w:tcPr>
            <w:tcW w:w="1249" w:type="pct"/>
            <w:tcBorders>
              <w:top w:val="nil"/>
              <w:left w:val="nil"/>
              <w:bottom w:val="single" w:sz="8" w:space="0" w:color="auto"/>
              <w:right w:val="single" w:sz="8" w:space="0" w:color="auto"/>
            </w:tcBorders>
            <w:shd w:val="clear" w:color="000000" w:fill="FFFFFF"/>
            <w:vAlign w:val="center"/>
            <w:hideMark/>
          </w:tcPr>
          <w:p w14:paraId="11160CEA" w14:textId="77777777" w:rsidR="004A07EC" w:rsidRPr="00890E81" w:rsidRDefault="004A07EC" w:rsidP="003F418B">
            <w:pPr>
              <w:spacing w:after="0"/>
              <w:jc w:val="center"/>
              <w:rPr>
                <w:rFonts w:eastAsia="Times New Roman" w:cs="Arial"/>
                <w:color w:val="000000"/>
                <w:sz w:val="20"/>
                <w:lang w:eastAsia="en-GB"/>
              </w:rPr>
            </w:pPr>
            <w:r w:rsidRPr="00890E81">
              <w:rPr>
                <w:rFonts w:eastAsia="Times New Roman" w:cs="Arial"/>
                <w:color w:val="000000"/>
                <w:sz w:val="20"/>
                <w:lang w:eastAsia="en-GB"/>
              </w:rPr>
              <w:t>8,000</w:t>
            </w:r>
          </w:p>
        </w:tc>
        <w:tc>
          <w:tcPr>
            <w:tcW w:w="1249" w:type="pct"/>
            <w:tcBorders>
              <w:top w:val="nil"/>
              <w:left w:val="nil"/>
              <w:bottom w:val="single" w:sz="8" w:space="0" w:color="auto"/>
              <w:right w:val="single" w:sz="8" w:space="0" w:color="auto"/>
            </w:tcBorders>
            <w:shd w:val="clear" w:color="000000" w:fill="FFFFFF"/>
            <w:vAlign w:val="center"/>
            <w:hideMark/>
          </w:tcPr>
          <w:p w14:paraId="15FA365E" w14:textId="77777777" w:rsidR="004A07EC" w:rsidRPr="00890E81" w:rsidRDefault="004A07EC" w:rsidP="003F418B">
            <w:pPr>
              <w:spacing w:after="0"/>
              <w:jc w:val="center"/>
              <w:rPr>
                <w:rFonts w:eastAsia="Times New Roman" w:cs="Arial"/>
                <w:color w:val="000000"/>
                <w:sz w:val="20"/>
                <w:lang w:eastAsia="en-GB"/>
              </w:rPr>
            </w:pPr>
            <w:r w:rsidRPr="00890E81">
              <w:rPr>
                <w:rFonts w:eastAsia="Times New Roman" w:cs="Arial"/>
                <w:color w:val="000000"/>
                <w:sz w:val="20"/>
                <w:lang w:eastAsia="en-GB"/>
              </w:rPr>
              <w:t>11,800</w:t>
            </w:r>
          </w:p>
        </w:tc>
        <w:tc>
          <w:tcPr>
            <w:tcW w:w="1253" w:type="pct"/>
            <w:tcBorders>
              <w:top w:val="nil"/>
              <w:left w:val="nil"/>
              <w:bottom w:val="single" w:sz="8" w:space="0" w:color="auto"/>
              <w:right w:val="single" w:sz="8" w:space="0" w:color="auto"/>
            </w:tcBorders>
            <w:shd w:val="clear" w:color="000000" w:fill="FFFFFF"/>
            <w:vAlign w:val="center"/>
          </w:tcPr>
          <w:p w14:paraId="3B0460F5" w14:textId="43E7ED5D" w:rsidR="004A07EC" w:rsidRPr="00890E81" w:rsidRDefault="0084055C" w:rsidP="003F418B">
            <w:pPr>
              <w:spacing w:after="0"/>
              <w:jc w:val="center"/>
              <w:rPr>
                <w:rFonts w:eastAsia="Times New Roman" w:cs="Arial"/>
                <w:color w:val="000000"/>
                <w:sz w:val="20"/>
                <w:lang w:eastAsia="en-GB"/>
              </w:rPr>
            </w:pPr>
            <w:r w:rsidRPr="00890E81">
              <w:rPr>
                <w:rFonts w:eastAsia="Times New Roman" w:cs="Arial"/>
                <w:color w:val="000000"/>
                <w:sz w:val="20"/>
                <w:lang w:eastAsia="en-GB"/>
              </w:rPr>
              <w:t>7,200</w:t>
            </w:r>
          </w:p>
        </w:tc>
      </w:tr>
      <w:tr w:rsidR="005D3003" w:rsidRPr="00890E81" w14:paraId="0F5C5921"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06B0393C" w14:textId="77777777" w:rsidR="005D3003" w:rsidRPr="00890E81" w:rsidRDefault="005D3003" w:rsidP="005D3003">
            <w:pPr>
              <w:spacing w:after="0"/>
              <w:jc w:val="center"/>
              <w:rPr>
                <w:rFonts w:eastAsia="Times New Roman" w:cs="Arial"/>
                <w:b/>
                <w:bCs/>
                <w:color w:val="FFFFFF"/>
                <w:sz w:val="20"/>
                <w:lang w:eastAsia="en-GB"/>
              </w:rPr>
            </w:pPr>
            <w:r w:rsidRPr="00890E81">
              <w:rPr>
                <w:rFonts w:eastAsia="Times New Roman" w:cs="Arial"/>
                <w:b/>
                <w:bCs/>
                <w:color w:val="FFFFFF"/>
                <w:sz w:val="20"/>
                <w:lang w:eastAsia="en-GB"/>
              </w:rPr>
              <w:t>2026/27</w:t>
            </w:r>
          </w:p>
        </w:tc>
        <w:tc>
          <w:tcPr>
            <w:tcW w:w="1249" w:type="pct"/>
            <w:tcBorders>
              <w:top w:val="nil"/>
              <w:left w:val="nil"/>
              <w:bottom w:val="single" w:sz="8" w:space="0" w:color="auto"/>
              <w:right w:val="single" w:sz="8" w:space="0" w:color="auto"/>
            </w:tcBorders>
            <w:shd w:val="clear" w:color="000000" w:fill="FFFFFF"/>
            <w:vAlign w:val="center"/>
            <w:hideMark/>
          </w:tcPr>
          <w:p w14:paraId="31905FAE"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11,900</w:t>
            </w:r>
          </w:p>
        </w:tc>
        <w:tc>
          <w:tcPr>
            <w:tcW w:w="1249" w:type="pct"/>
            <w:tcBorders>
              <w:top w:val="nil"/>
              <w:left w:val="nil"/>
              <w:bottom w:val="single" w:sz="8" w:space="0" w:color="auto"/>
              <w:right w:val="single" w:sz="8" w:space="0" w:color="auto"/>
            </w:tcBorders>
            <w:shd w:val="clear" w:color="000000" w:fill="FFFFFF"/>
            <w:vAlign w:val="center"/>
            <w:hideMark/>
          </w:tcPr>
          <w:p w14:paraId="0AB3687C"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17,500</w:t>
            </w:r>
          </w:p>
        </w:tc>
        <w:tc>
          <w:tcPr>
            <w:tcW w:w="1253" w:type="pct"/>
            <w:tcBorders>
              <w:top w:val="nil"/>
              <w:left w:val="nil"/>
              <w:bottom w:val="single" w:sz="8" w:space="0" w:color="auto"/>
              <w:right w:val="single" w:sz="8" w:space="0" w:color="auto"/>
            </w:tcBorders>
            <w:shd w:val="clear" w:color="000000" w:fill="FFFFFF"/>
            <w:vAlign w:val="center"/>
          </w:tcPr>
          <w:p w14:paraId="1FBC2175" w14:textId="166D2114" w:rsidR="005D3003" w:rsidRPr="00890E81" w:rsidRDefault="0084055C"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7,600</w:t>
            </w:r>
          </w:p>
        </w:tc>
      </w:tr>
      <w:tr w:rsidR="005D3003" w:rsidRPr="00890E81" w14:paraId="188D283E"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64D3EF5F" w14:textId="77777777" w:rsidR="005D3003" w:rsidRPr="00890E81" w:rsidRDefault="005D3003" w:rsidP="005D3003">
            <w:pPr>
              <w:spacing w:after="0"/>
              <w:jc w:val="center"/>
              <w:rPr>
                <w:rFonts w:eastAsia="Times New Roman" w:cs="Arial"/>
                <w:b/>
                <w:bCs/>
                <w:color w:val="FFFFFF"/>
                <w:sz w:val="20"/>
                <w:lang w:eastAsia="en-GB"/>
              </w:rPr>
            </w:pPr>
            <w:r w:rsidRPr="00890E81">
              <w:rPr>
                <w:rFonts w:eastAsia="Times New Roman" w:cs="Arial"/>
                <w:b/>
                <w:bCs/>
                <w:color w:val="FFFFFF"/>
                <w:sz w:val="20"/>
                <w:lang w:eastAsia="en-GB"/>
              </w:rPr>
              <w:t>2027/28</w:t>
            </w:r>
          </w:p>
        </w:tc>
        <w:tc>
          <w:tcPr>
            <w:tcW w:w="1249" w:type="pct"/>
            <w:tcBorders>
              <w:top w:val="nil"/>
              <w:left w:val="nil"/>
              <w:bottom w:val="single" w:sz="8" w:space="0" w:color="auto"/>
              <w:right w:val="single" w:sz="8" w:space="0" w:color="auto"/>
            </w:tcBorders>
            <w:shd w:val="clear" w:color="000000" w:fill="FFFFFF"/>
            <w:vAlign w:val="center"/>
            <w:hideMark/>
          </w:tcPr>
          <w:p w14:paraId="31930C0B"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17,000</w:t>
            </w:r>
          </w:p>
        </w:tc>
        <w:tc>
          <w:tcPr>
            <w:tcW w:w="1249" w:type="pct"/>
            <w:tcBorders>
              <w:top w:val="nil"/>
              <w:left w:val="nil"/>
              <w:bottom w:val="single" w:sz="8" w:space="0" w:color="auto"/>
              <w:right w:val="single" w:sz="8" w:space="0" w:color="auto"/>
            </w:tcBorders>
            <w:shd w:val="clear" w:color="000000" w:fill="FFFFFF"/>
            <w:vAlign w:val="center"/>
            <w:hideMark/>
          </w:tcPr>
          <w:p w14:paraId="7141D77D"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25,700</w:t>
            </w:r>
          </w:p>
        </w:tc>
        <w:tc>
          <w:tcPr>
            <w:tcW w:w="1253" w:type="pct"/>
            <w:tcBorders>
              <w:top w:val="nil"/>
              <w:left w:val="nil"/>
              <w:bottom w:val="single" w:sz="8" w:space="0" w:color="auto"/>
              <w:right w:val="single" w:sz="8" w:space="0" w:color="auto"/>
            </w:tcBorders>
            <w:shd w:val="clear" w:color="000000" w:fill="FFFFFF"/>
            <w:vAlign w:val="center"/>
          </w:tcPr>
          <w:p w14:paraId="05F4B9EB" w14:textId="7FD37951" w:rsidR="005D3003" w:rsidRPr="00890E81" w:rsidRDefault="0084055C"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9,700</w:t>
            </w:r>
          </w:p>
        </w:tc>
      </w:tr>
      <w:tr w:rsidR="005D3003" w:rsidRPr="00890E81" w14:paraId="14E77C50"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7A4D8B04" w14:textId="77777777" w:rsidR="005D3003" w:rsidRPr="00890E81" w:rsidRDefault="005D3003" w:rsidP="005D3003">
            <w:pPr>
              <w:spacing w:after="0"/>
              <w:jc w:val="center"/>
              <w:rPr>
                <w:rFonts w:eastAsia="Times New Roman" w:cs="Arial"/>
                <w:b/>
                <w:bCs/>
                <w:color w:val="FFFFFF"/>
                <w:sz w:val="20"/>
                <w:lang w:eastAsia="en-GB"/>
              </w:rPr>
            </w:pPr>
            <w:r w:rsidRPr="00890E81">
              <w:rPr>
                <w:rFonts w:eastAsia="Times New Roman" w:cs="Arial"/>
                <w:b/>
                <w:bCs/>
                <w:color w:val="FFFFFF"/>
                <w:sz w:val="20"/>
                <w:lang w:eastAsia="en-GB"/>
              </w:rPr>
              <w:t>2028/29</w:t>
            </w:r>
          </w:p>
        </w:tc>
        <w:tc>
          <w:tcPr>
            <w:tcW w:w="1249" w:type="pct"/>
            <w:tcBorders>
              <w:top w:val="nil"/>
              <w:left w:val="nil"/>
              <w:bottom w:val="single" w:sz="8" w:space="0" w:color="auto"/>
              <w:right w:val="single" w:sz="8" w:space="0" w:color="auto"/>
            </w:tcBorders>
            <w:shd w:val="clear" w:color="000000" w:fill="FFFFFF"/>
            <w:vAlign w:val="center"/>
            <w:hideMark/>
          </w:tcPr>
          <w:p w14:paraId="0BDB1703"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23,400</w:t>
            </w:r>
          </w:p>
        </w:tc>
        <w:tc>
          <w:tcPr>
            <w:tcW w:w="1249" w:type="pct"/>
            <w:tcBorders>
              <w:top w:val="nil"/>
              <w:left w:val="nil"/>
              <w:bottom w:val="single" w:sz="8" w:space="0" w:color="auto"/>
              <w:right w:val="single" w:sz="8" w:space="0" w:color="auto"/>
            </w:tcBorders>
            <w:shd w:val="clear" w:color="000000" w:fill="FFFFFF"/>
            <w:vAlign w:val="center"/>
            <w:hideMark/>
          </w:tcPr>
          <w:p w14:paraId="6F0E799F"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37,200</w:t>
            </w:r>
          </w:p>
        </w:tc>
        <w:tc>
          <w:tcPr>
            <w:tcW w:w="1253" w:type="pct"/>
            <w:tcBorders>
              <w:top w:val="nil"/>
              <w:left w:val="nil"/>
              <w:bottom w:val="single" w:sz="8" w:space="0" w:color="auto"/>
              <w:right w:val="single" w:sz="8" w:space="0" w:color="auto"/>
            </w:tcBorders>
            <w:shd w:val="clear" w:color="000000" w:fill="FFFFFF"/>
            <w:vAlign w:val="center"/>
          </w:tcPr>
          <w:p w14:paraId="195CB70F" w14:textId="2A19819B" w:rsidR="005D3003" w:rsidRPr="00890E81" w:rsidRDefault="0084055C"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11,900</w:t>
            </w:r>
          </w:p>
        </w:tc>
      </w:tr>
      <w:tr w:rsidR="005D3003" w:rsidRPr="00890E81" w14:paraId="5D1EF373"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0F98D5F1" w14:textId="77777777" w:rsidR="005D3003" w:rsidRPr="00890E81" w:rsidRDefault="005D3003" w:rsidP="005D3003">
            <w:pPr>
              <w:spacing w:after="0"/>
              <w:jc w:val="center"/>
              <w:rPr>
                <w:rFonts w:eastAsia="Times New Roman" w:cs="Arial"/>
                <w:b/>
                <w:bCs/>
                <w:color w:val="FFFFFF"/>
                <w:sz w:val="20"/>
                <w:lang w:eastAsia="en-GB"/>
              </w:rPr>
            </w:pPr>
            <w:r w:rsidRPr="00890E81">
              <w:rPr>
                <w:rFonts w:eastAsia="Times New Roman" w:cs="Arial"/>
                <w:b/>
                <w:bCs/>
                <w:color w:val="FFFFFF"/>
                <w:sz w:val="20"/>
                <w:lang w:eastAsia="en-GB"/>
              </w:rPr>
              <w:t>2029/30</w:t>
            </w:r>
          </w:p>
        </w:tc>
        <w:tc>
          <w:tcPr>
            <w:tcW w:w="1249" w:type="pct"/>
            <w:tcBorders>
              <w:top w:val="nil"/>
              <w:left w:val="nil"/>
              <w:bottom w:val="single" w:sz="8" w:space="0" w:color="auto"/>
              <w:right w:val="single" w:sz="8" w:space="0" w:color="auto"/>
            </w:tcBorders>
            <w:shd w:val="clear" w:color="000000" w:fill="FFFFFF"/>
            <w:vAlign w:val="center"/>
            <w:hideMark/>
          </w:tcPr>
          <w:p w14:paraId="75543FF6"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33,000</w:t>
            </w:r>
          </w:p>
        </w:tc>
        <w:tc>
          <w:tcPr>
            <w:tcW w:w="1249" w:type="pct"/>
            <w:tcBorders>
              <w:top w:val="nil"/>
              <w:left w:val="nil"/>
              <w:bottom w:val="single" w:sz="8" w:space="0" w:color="auto"/>
              <w:right w:val="single" w:sz="8" w:space="0" w:color="auto"/>
            </w:tcBorders>
            <w:shd w:val="clear" w:color="000000" w:fill="FFFFFF"/>
            <w:vAlign w:val="center"/>
            <w:hideMark/>
          </w:tcPr>
          <w:p w14:paraId="3C26B029"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52,500</w:t>
            </w:r>
          </w:p>
        </w:tc>
        <w:tc>
          <w:tcPr>
            <w:tcW w:w="1253" w:type="pct"/>
            <w:tcBorders>
              <w:top w:val="nil"/>
              <w:left w:val="nil"/>
              <w:bottom w:val="single" w:sz="8" w:space="0" w:color="auto"/>
              <w:right w:val="single" w:sz="8" w:space="0" w:color="auto"/>
            </w:tcBorders>
            <w:shd w:val="clear" w:color="000000" w:fill="FFFFFF"/>
            <w:vAlign w:val="center"/>
          </w:tcPr>
          <w:p w14:paraId="3340EF09" w14:textId="36623DAB" w:rsidR="005D3003" w:rsidRPr="00890E81" w:rsidRDefault="0084055C"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13,900</w:t>
            </w:r>
          </w:p>
        </w:tc>
      </w:tr>
      <w:tr w:rsidR="005D3003" w:rsidRPr="00890E81" w14:paraId="33221939"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076E720D" w14:textId="77777777" w:rsidR="005D3003" w:rsidRPr="00890E81" w:rsidRDefault="005D3003" w:rsidP="005D3003">
            <w:pPr>
              <w:spacing w:after="0"/>
              <w:jc w:val="center"/>
              <w:rPr>
                <w:rFonts w:eastAsia="Times New Roman" w:cs="Arial"/>
                <w:b/>
                <w:bCs/>
                <w:color w:val="FFFFFF"/>
                <w:sz w:val="20"/>
                <w:lang w:eastAsia="en-GB"/>
              </w:rPr>
            </w:pPr>
            <w:r w:rsidRPr="00890E81">
              <w:rPr>
                <w:rFonts w:eastAsia="Times New Roman" w:cs="Arial"/>
                <w:b/>
                <w:bCs/>
                <w:color w:val="FFFFFF"/>
                <w:sz w:val="20"/>
                <w:lang w:eastAsia="en-GB"/>
              </w:rPr>
              <w:t>2030/31</w:t>
            </w:r>
          </w:p>
        </w:tc>
        <w:tc>
          <w:tcPr>
            <w:tcW w:w="1249" w:type="pct"/>
            <w:tcBorders>
              <w:top w:val="nil"/>
              <w:left w:val="nil"/>
              <w:bottom w:val="single" w:sz="8" w:space="0" w:color="auto"/>
              <w:right w:val="single" w:sz="8" w:space="0" w:color="auto"/>
            </w:tcBorders>
            <w:shd w:val="clear" w:color="000000" w:fill="FFFFFF"/>
            <w:vAlign w:val="center"/>
            <w:hideMark/>
          </w:tcPr>
          <w:p w14:paraId="331A0616"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46,400</w:t>
            </w:r>
          </w:p>
        </w:tc>
        <w:tc>
          <w:tcPr>
            <w:tcW w:w="1249" w:type="pct"/>
            <w:tcBorders>
              <w:top w:val="nil"/>
              <w:left w:val="nil"/>
              <w:bottom w:val="single" w:sz="8" w:space="0" w:color="auto"/>
              <w:right w:val="single" w:sz="8" w:space="0" w:color="auto"/>
            </w:tcBorders>
            <w:shd w:val="clear" w:color="000000" w:fill="FFFFFF"/>
            <w:vAlign w:val="center"/>
            <w:hideMark/>
          </w:tcPr>
          <w:p w14:paraId="086837A9"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71,500</w:t>
            </w:r>
          </w:p>
        </w:tc>
        <w:tc>
          <w:tcPr>
            <w:tcW w:w="1253" w:type="pct"/>
            <w:tcBorders>
              <w:top w:val="nil"/>
              <w:left w:val="nil"/>
              <w:bottom w:val="single" w:sz="8" w:space="0" w:color="auto"/>
              <w:right w:val="single" w:sz="8" w:space="0" w:color="auto"/>
            </w:tcBorders>
            <w:shd w:val="clear" w:color="000000" w:fill="FFFFFF"/>
            <w:vAlign w:val="center"/>
          </w:tcPr>
          <w:p w14:paraId="212C14AE" w14:textId="1F217865" w:rsidR="005D3003" w:rsidRPr="00890E81" w:rsidRDefault="0084055C"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15,300</w:t>
            </w:r>
          </w:p>
        </w:tc>
      </w:tr>
      <w:tr w:rsidR="005D3003" w:rsidRPr="00890E81" w14:paraId="04D7CDDF"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3E2E7A85" w14:textId="77777777" w:rsidR="005D3003" w:rsidRPr="00890E81" w:rsidRDefault="005D3003" w:rsidP="005D3003">
            <w:pPr>
              <w:spacing w:after="0"/>
              <w:jc w:val="center"/>
              <w:rPr>
                <w:rFonts w:eastAsia="Times New Roman" w:cs="Arial"/>
                <w:b/>
                <w:bCs/>
                <w:color w:val="FFFFFF"/>
                <w:sz w:val="20"/>
                <w:lang w:eastAsia="en-GB"/>
              </w:rPr>
            </w:pPr>
            <w:r w:rsidRPr="00890E81">
              <w:rPr>
                <w:rFonts w:eastAsia="Times New Roman" w:cs="Arial"/>
                <w:b/>
                <w:bCs/>
                <w:color w:val="FFFFFF"/>
                <w:sz w:val="20"/>
                <w:lang w:eastAsia="en-GB"/>
              </w:rPr>
              <w:t>2031/32</w:t>
            </w:r>
          </w:p>
        </w:tc>
        <w:tc>
          <w:tcPr>
            <w:tcW w:w="1249" w:type="pct"/>
            <w:tcBorders>
              <w:top w:val="nil"/>
              <w:left w:val="nil"/>
              <w:bottom w:val="single" w:sz="8" w:space="0" w:color="auto"/>
              <w:right w:val="single" w:sz="8" w:space="0" w:color="auto"/>
            </w:tcBorders>
            <w:shd w:val="clear" w:color="000000" w:fill="FFFFFF"/>
            <w:vAlign w:val="center"/>
            <w:hideMark/>
          </w:tcPr>
          <w:p w14:paraId="181F1FDA"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67,500</w:t>
            </w:r>
          </w:p>
        </w:tc>
        <w:tc>
          <w:tcPr>
            <w:tcW w:w="1249" w:type="pct"/>
            <w:tcBorders>
              <w:top w:val="nil"/>
              <w:left w:val="nil"/>
              <w:bottom w:val="single" w:sz="8" w:space="0" w:color="auto"/>
              <w:right w:val="single" w:sz="8" w:space="0" w:color="auto"/>
            </w:tcBorders>
            <w:shd w:val="clear" w:color="000000" w:fill="FFFFFF"/>
            <w:vAlign w:val="center"/>
            <w:hideMark/>
          </w:tcPr>
          <w:p w14:paraId="7D15B85F"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92,900</w:t>
            </w:r>
          </w:p>
        </w:tc>
        <w:tc>
          <w:tcPr>
            <w:tcW w:w="1253" w:type="pct"/>
            <w:tcBorders>
              <w:top w:val="nil"/>
              <w:left w:val="nil"/>
              <w:bottom w:val="single" w:sz="8" w:space="0" w:color="auto"/>
              <w:right w:val="single" w:sz="8" w:space="0" w:color="auto"/>
            </w:tcBorders>
            <w:shd w:val="clear" w:color="000000" w:fill="FFFFFF"/>
            <w:vAlign w:val="center"/>
          </w:tcPr>
          <w:p w14:paraId="454F0DF8" w14:textId="6DBB1216" w:rsidR="005D3003" w:rsidRPr="00890E81" w:rsidRDefault="0084055C"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15,800</w:t>
            </w:r>
          </w:p>
        </w:tc>
      </w:tr>
      <w:tr w:rsidR="005D3003" w:rsidRPr="00890E81" w14:paraId="4B8E731F"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66019144" w14:textId="77777777" w:rsidR="005D3003" w:rsidRPr="00890E81" w:rsidRDefault="005D3003" w:rsidP="005D3003">
            <w:pPr>
              <w:spacing w:after="0"/>
              <w:jc w:val="center"/>
              <w:rPr>
                <w:rFonts w:eastAsia="Times New Roman" w:cs="Arial"/>
                <w:b/>
                <w:bCs/>
                <w:color w:val="FFFFFF"/>
                <w:sz w:val="20"/>
                <w:lang w:eastAsia="en-GB"/>
              </w:rPr>
            </w:pPr>
            <w:r w:rsidRPr="00890E81">
              <w:rPr>
                <w:rFonts w:eastAsia="Times New Roman" w:cs="Arial"/>
                <w:b/>
                <w:bCs/>
                <w:color w:val="FFFFFF"/>
                <w:sz w:val="20"/>
                <w:lang w:eastAsia="en-GB"/>
              </w:rPr>
              <w:t>2032/33</w:t>
            </w:r>
          </w:p>
        </w:tc>
        <w:tc>
          <w:tcPr>
            <w:tcW w:w="1249" w:type="pct"/>
            <w:tcBorders>
              <w:top w:val="nil"/>
              <w:left w:val="nil"/>
              <w:bottom w:val="single" w:sz="8" w:space="0" w:color="auto"/>
              <w:right w:val="single" w:sz="8" w:space="0" w:color="auto"/>
            </w:tcBorders>
            <w:shd w:val="clear" w:color="000000" w:fill="FFFFFF"/>
            <w:vAlign w:val="center"/>
            <w:hideMark/>
          </w:tcPr>
          <w:p w14:paraId="652ED2D0"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77,000</w:t>
            </w:r>
          </w:p>
        </w:tc>
        <w:tc>
          <w:tcPr>
            <w:tcW w:w="1249" w:type="pct"/>
            <w:tcBorders>
              <w:top w:val="nil"/>
              <w:left w:val="nil"/>
              <w:bottom w:val="single" w:sz="8" w:space="0" w:color="auto"/>
              <w:right w:val="single" w:sz="8" w:space="0" w:color="auto"/>
            </w:tcBorders>
            <w:shd w:val="clear" w:color="000000" w:fill="FFFFFF"/>
            <w:vAlign w:val="center"/>
            <w:hideMark/>
          </w:tcPr>
          <w:p w14:paraId="505A7218"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113,500</w:t>
            </w:r>
          </w:p>
        </w:tc>
        <w:tc>
          <w:tcPr>
            <w:tcW w:w="1253" w:type="pct"/>
            <w:tcBorders>
              <w:top w:val="nil"/>
              <w:left w:val="nil"/>
              <w:bottom w:val="single" w:sz="8" w:space="0" w:color="auto"/>
              <w:right w:val="single" w:sz="8" w:space="0" w:color="auto"/>
            </w:tcBorders>
            <w:shd w:val="clear" w:color="000000" w:fill="FFFFFF"/>
            <w:vAlign w:val="center"/>
          </w:tcPr>
          <w:p w14:paraId="38D7D836" w14:textId="01F54B16" w:rsidR="005D3003" w:rsidRPr="00890E81" w:rsidRDefault="0084055C"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15,300</w:t>
            </w:r>
          </w:p>
        </w:tc>
      </w:tr>
      <w:tr w:rsidR="005D3003" w:rsidRPr="00890E81" w14:paraId="43B33941"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32E34E7E" w14:textId="77777777" w:rsidR="005D3003" w:rsidRPr="00890E81" w:rsidRDefault="005D3003" w:rsidP="005D3003">
            <w:pPr>
              <w:spacing w:after="0"/>
              <w:jc w:val="center"/>
              <w:rPr>
                <w:rFonts w:eastAsia="Times New Roman" w:cs="Arial"/>
                <w:b/>
                <w:bCs/>
                <w:color w:val="FFFFFF"/>
                <w:sz w:val="20"/>
                <w:lang w:eastAsia="en-GB"/>
              </w:rPr>
            </w:pPr>
            <w:r w:rsidRPr="00890E81">
              <w:rPr>
                <w:rFonts w:eastAsia="Times New Roman" w:cs="Arial"/>
                <w:b/>
                <w:bCs/>
                <w:color w:val="FFFFFF"/>
                <w:sz w:val="20"/>
                <w:lang w:eastAsia="en-GB"/>
              </w:rPr>
              <w:t>2033/34</w:t>
            </w:r>
          </w:p>
        </w:tc>
        <w:tc>
          <w:tcPr>
            <w:tcW w:w="1249" w:type="pct"/>
            <w:tcBorders>
              <w:top w:val="nil"/>
              <w:left w:val="nil"/>
              <w:bottom w:val="single" w:sz="8" w:space="0" w:color="auto"/>
              <w:right w:val="single" w:sz="8" w:space="0" w:color="auto"/>
            </w:tcBorders>
            <w:shd w:val="clear" w:color="000000" w:fill="FFFFFF"/>
            <w:vAlign w:val="center"/>
            <w:hideMark/>
          </w:tcPr>
          <w:p w14:paraId="554716A2"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78,400</w:t>
            </w:r>
          </w:p>
        </w:tc>
        <w:tc>
          <w:tcPr>
            <w:tcW w:w="1249" w:type="pct"/>
            <w:tcBorders>
              <w:top w:val="nil"/>
              <w:left w:val="nil"/>
              <w:bottom w:val="single" w:sz="8" w:space="0" w:color="auto"/>
              <w:right w:val="single" w:sz="8" w:space="0" w:color="auto"/>
            </w:tcBorders>
            <w:shd w:val="clear" w:color="000000" w:fill="FFFFFF"/>
            <w:vAlign w:val="center"/>
            <w:hideMark/>
          </w:tcPr>
          <w:p w14:paraId="233C1D0B"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128,900</w:t>
            </w:r>
          </w:p>
        </w:tc>
        <w:tc>
          <w:tcPr>
            <w:tcW w:w="1253" w:type="pct"/>
            <w:tcBorders>
              <w:top w:val="nil"/>
              <w:left w:val="nil"/>
              <w:bottom w:val="single" w:sz="8" w:space="0" w:color="auto"/>
              <w:right w:val="single" w:sz="8" w:space="0" w:color="auto"/>
            </w:tcBorders>
            <w:shd w:val="clear" w:color="000000" w:fill="FFFFFF"/>
            <w:vAlign w:val="center"/>
          </w:tcPr>
          <w:p w14:paraId="543300D1" w14:textId="73AE122F" w:rsidR="005D3003" w:rsidRPr="00890E81" w:rsidRDefault="0084055C"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13,900</w:t>
            </w:r>
          </w:p>
        </w:tc>
      </w:tr>
      <w:tr w:rsidR="005D3003" w:rsidRPr="00890E81" w14:paraId="097E749F" w14:textId="77777777" w:rsidTr="00890E81">
        <w:trPr>
          <w:trHeight w:val="283"/>
          <w:jc w:val="center"/>
        </w:trPr>
        <w:tc>
          <w:tcPr>
            <w:tcW w:w="1249" w:type="pct"/>
            <w:tcBorders>
              <w:top w:val="nil"/>
              <w:left w:val="single" w:sz="8" w:space="0" w:color="auto"/>
              <w:bottom w:val="single" w:sz="8" w:space="0" w:color="auto"/>
              <w:right w:val="single" w:sz="8" w:space="0" w:color="auto"/>
            </w:tcBorders>
            <w:shd w:val="clear" w:color="000000" w:fill="00464D"/>
            <w:vAlign w:val="center"/>
            <w:hideMark/>
          </w:tcPr>
          <w:p w14:paraId="4DA83899" w14:textId="77777777" w:rsidR="005D3003" w:rsidRPr="00890E81" w:rsidRDefault="005D3003" w:rsidP="005D3003">
            <w:pPr>
              <w:spacing w:after="0"/>
              <w:jc w:val="center"/>
              <w:rPr>
                <w:rFonts w:eastAsia="Times New Roman" w:cs="Arial"/>
                <w:b/>
                <w:bCs/>
                <w:color w:val="FFFFFF"/>
                <w:sz w:val="20"/>
                <w:lang w:eastAsia="en-GB"/>
              </w:rPr>
            </w:pPr>
            <w:r w:rsidRPr="00890E81">
              <w:rPr>
                <w:rFonts w:eastAsia="Times New Roman" w:cs="Arial"/>
                <w:b/>
                <w:bCs/>
                <w:color w:val="FFFFFF"/>
                <w:sz w:val="20"/>
                <w:lang w:eastAsia="en-GB"/>
              </w:rPr>
              <w:t>2034/35</w:t>
            </w:r>
          </w:p>
        </w:tc>
        <w:tc>
          <w:tcPr>
            <w:tcW w:w="1249" w:type="pct"/>
            <w:tcBorders>
              <w:top w:val="nil"/>
              <w:left w:val="nil"/>
              <w:bottom w:val="single" w:sz="8" w:space="0" w:color="auto"/>
              <w:right w:val="single" w:sz="8" w:space="0" w:color="auto"/>
            </w:tcBorders>
            <w:shd w:val="clear" w:color="000000" w:fill="FFFFFF"/>
            <w:vAlign w:val="center"/>
            <w:hideMark/>
          </w:tcPr>
          <w:p w14:paraId="49901215"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83,700</w:t>
            </w:r>
          </w:p>
        </w:tc>
        <w:tc>
          <w:tcPr>
            <w:tcW w:w="1249" w:type="pct"/>
            <w:tcBorders>
              <w:top w:val="nil"/>
              <w:left w:val="nil"/>
              <w:bottom w:val="single" w:sz="8" w:space="0" w:color="auto"/>
              <w:right w:val="single" w:sz="8" w:space="0" w:color="auto"/>
            </w:tcBorders>
            <w:shd w:val="clear" w:color="000000" w:fill="FFFFFF"/>
            <w:vAlign w:val="center"/>
            <w:hideMark/>
          </w:tcPr>
          <w:p w14:paraId="37129AED" w14:textId="77777777" w:rsidR="005D3003" w:rsidRPr="00890E81" w:rsidRDefault="005D3003"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134,600</w:t>
            </w:r>
          </w:p>
        </w:tc>
        <w:tc>
          <w:tcPr>
            <w:tcW w:w="1253" w:type="pct"/>
            <w:tcBorders>
              <w:top w:val="nil"/>
              <w:left w:val="nil"/>
              <w:bottom w:val="single" w:sz="8" w:space="0" w:color="auto"/>
              <w:right w:val="single" w:sz="8" w:space="0" w:color="auto"/>
            </w:tcBorders>
            <w:shd w:val="clear" w:color="000000" w:fill="FFFFFF"/>
            <w:vAlign w:val="center"/>
          </w:tcPr>
          <w:p w14:paraId="5FCE5422" w14:textId="509D42E8" w:rsidR="005D3003" w:rsidRPr="00890E81" w:rsidRDefault="0084055C" w:rsidP="005D3003">
            <w:pPr>
              <w:spacing w:after="0"/>
              <w:jc w:val="center"/>
              <w:rPr>
                <w:rFonts w:eastAsia="Times New Roman" w:cs="Arial"/>
                <w:color w:val="000000"/>
                <w:sz w:val="20"/>
                <w:lang w:eastAsia="en-GB"/>
              </w:rPr>
            </w:pPr>
            <w:r w:rsidRPr="00890E81">
              <w:rPr>
                <w:rFonts w:eastAsia="Times New Roman" w:cs="Arial"/>
                <w:color w:val="000000"/>
                <w:sz w:val="20"/>
                <w:lang w:eastAsia="en-GB"/>
              </w:rPr>
              <w:t>11,900</w:t>
            </w:r>
          </w:p>
        </w:tc>
      </w:tr>
    </w:tbl>
    <w:p w14:paraId="534CAA30" w14:textId="77777777" w:rsidR="004A07EC" w:rsidRDefault="004A07EC" w:rsidP="004A07EC">
      <w:pPr>
        <w:spacing w:after="120" w:line="278" w:lineRule="auto"/>
        <w:jc w:val="right"/>
        <w:rPr>
          <w:color w:val="6D6E71" w:themeColor="accent3"/>
          <w:sz w:val="18"/>
          <w:szCs w:val="16"/>
        </w:rPr>
      </w:pPr>
      <w:r w:rsidRPr="00411BA1">
        <w:rPr>
          <w:color w:val="6D6E71" w:themeColor="accent3"/>
          <w:sz w:val="18"/>
          <w:szCs w:val="16"/>
        </w:rPr>
        <w:t xml:space="preserve">Source: </w:t>
      </w:r>
      <w:r>
        <w:rPr>
          <w:color w:val="6D6E71" w:themeColor="accent3"/>
          <w:sz w:val="18"/>
          <w:szCs w:val="16"/>
        </w:rPr>
        <w:t>Various</w:t>
      </w:r>
      <w:r w:rsidRPr="00411BA1">
        <w:rPr>
          <w:color w:val="6D6E71" w:themeColor="accent3"/>
          <w:sz w:val="18"/>
          <w:szCs w:val="16"/>
        </w:rPr>
        <w:t>, Cebr analysis</w:t>
      </w:r>
    </w:p>
    <w:p w14:paraId="431C3E4D" w14:textId="76CDCBB1" w:rsidR="004A07EC" w:rsidRDefault="00890E81" w:rsidP="004A07EC">
      <w:r>
        <w:rPr>
          <w:noProof/>
        </w:rPr>
        <w:drawing>
          <wp:anchor distT="0" distB="0" distL="114300" distR="114300" simplePos="0" relativeHeight="251663389" behindDoc="0" locked="0" layoutInCell="1" allowOverlap="1" wp14:anchorId="309175AA" wp14:editId="26C4CFE7">
            <wp:simplePos x="0" y="0"/>
            <wp:positionH relativeFrom="column">
              <wp:posOffset>-19050</wp:posOffset>
            </wp:positionH>
            <wp:positionV relativeFrom="paragraph">
              <wp:posOffset>193040</wp:posOffset>
            </wp:positionV>
            <wp:extent cx="5746750" cy="2857500"/>
            <wp:effectExtent l="0" t="0" r="6350" b="0"/>
            <wp:wrapTopAndBottom/>
            <wp:docPr id="1532987603" name="Chart 1" descr="Line chart comparing projected heat pump installation demand under base, high-demand, and low-demand scenarios from 2025/26 to 2034/35. Demand increases steadily under the base scenario, accelerates sharply under the high-demand scenario, and rises more modestly before levelling off under the low-demand scenario.">
              <a:extLst xmlns:a="http://schemas.openxmlformats.org/drawingml/2006/main">
                <a:ext uri="{FF2B5EF4-FFF2-40B4-BE49-F238E27FC236}">
                  <a16:creationId xmlns:a16="http://schemas.microsoft.com/office/drawing/2014/main" id="{904CE1FB-BDF9-15CB-4ACC-00CB7FD656A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14:sizeRelV relativeFrom="margin">
              <wp14:pctHeight>0</wp14:pctHeight>
            </wp14:sizeRelV>
          </wp:anchor>
        </w:drawing>
      </w:r>
      <w:r w:rsidR="004A07EC" w:rsidRPr="00AF6F14">
        <w:rPr>
          <w:color w:val="6D6E71" w:themeColor="accent3"/>
          <w:sz w:val="18"/>
        </w:rPr>
        <w:t xml:space="preserve">Figure </w:t>
      </w:r>
      <w:r w:rsidR="004A07EC" w:rsidRPr="00AF6F14">
        <w:rPr>
          <w:color w:val="6D6E71" w:themeColor="accent3"/>
          <w:sz w:val="18"/>
        </w:rPr>
        <w:fldChar w:fldCharType="begin"/>
      </w:r>
      <w:r w:rsidR="004A07EC" w:rsidRPr="00AF6F14">
        <w:rPr>
          <w:color w:val="6D6E71" w:themeColor="accent3"/>
          <w:sz w:val="18"/>
        </w:rPr>
        <w:instrText xml:space="preserve"> SEQ Figure \* ARABIC </w:instrText>
      </w:r>
      <w:r w:rsidR="004A07EC" w:rsidRPr="00AF6F14">
        <w:rPr>
          <w:color w:val="6D6E71" w:themeColor="accent3"/>
          <w:sz w:val="18"/>
        </w:rPr>
        <w:fldChar w:fldCharType="separate"/>
      </w:r>
      <w:r w:rsidR="004775B5">
        <w:rPr>
          <w:noProof/>
          <w:color w:val="6D6E71" w:themeColor="accent3"/>
          <w:sz w:val="18"/>
        </w:rPr>
        <w:t>2</w:t>
      </w:r>
      <w:r w:rsidR="004A07EC" w:rsidRPr="00AF6F14">
        <w:rPr>
          <w:color w:val="6D6E71" w:themeColor="accent3"/>
          <w:sz w:val="18"/>
        </w:rPr>
        <w:fldChar w:fldCharType="end"/>
      </w:r>
      <w:r w:rsidR="004A07EC">
        <w:rPr>
          <w:color w:val="6D6E71" w:themeColor="accent3"/>
          <w:sz w:val="18"/>
        </w:rPr>
        <w:t>: Heat pump installation demand forecasts under Base, Low Demand, and High Demand scenarios</w:t>
      </w:r>
    </w:p>
    <w:p w14:paraId="5C25DF55" w14:textId="71A8E107" w:rsidR="004A07EC" w:rsidRDefault="004A07EC" w:rsidP="004A07EC">
      <w:pPr>
        <w:spacing w:after="120" w:line="278" w:lineRule="auto"/>
        <w:jc w:val="right"/>
        <w:rPr>
          <w:color w:val="6D6E71" w:themeColor="accent3"/>
          <w:sz w:val="18"/>
          <w:szCs w:val="16"/>
        </w:rPr>
      </w:pPr>
      <w:r w:rsidRPr="00411BA1">
        <w:rPr>
          <w:color w:val="6D6E71" w:themeColor="accent3"/>
          <w:sz w:val="18"/>
          <w:szCs w:val="16"/>
        </w:rPr>
        <w:t xml:space="preserve">Source: </w:t>
      </w:r>
      <w:r>
        <w:rPr>
          <w:color w:val="6D6E71" w:themeColor="accent3"/>
          <w:sz w:val="18"/>
          <w:szCs w:val="16"/>
        </w:rPr>
        <w:t>Various</w:t>
      </w:r>
      <w:r w:rsidRPr="00411BA1">
        <w:rPr>
          <w:color w:val="6D6E71" w:themeColor="accent3"/>
          <w:sz w:val="18"/>
          <w:szCs w:val="16"/>
        </w:rPr>
        <w:t>, Cebr analysis</w:t>
      </w:r>
    </w:p>
    <w:p w14:paraId="55F689E0" w14:textId="33F59FCA" w:rsidR="00E579FF" w:rsidRDefault="00E579FF">
      <w:pPr>
        <w:spacing w:after="0"/>
        <w:rPr>
          <w:szCs w:val="4"/>
        </w:rPr>
      </w:pPr>
    </w:p>
    <w:p w14:paraId="72D204F6" w14:textId="748063E3" w:rsidR="00BD6CB3" w:rsidRDefault="008F06AD" w:rsidP="007247D2">
      <w:pPr>
        <w:pStyle w:val="Heading2"/>
        <w:spacing w:line="278" w:lineRule="auto"/>
      </w:pPr>
      <w:bookmarkStart w:id="22" w:name="_Toc221182658"/>
      <w:r>
        <w:t>L</w:t>
      </w:r>
      <w:r w:rsidR="00BD6CB3">
        <w:t xml:space="preserve">abour demand under the </w:t>
      </w:r>
      <w:r>
        <w:t>base</w:t>
      </w:r>
      <w:r w:rsidR="00BD6CB3">
        <w:t xml:space="preserve"> scenario</w:t>
      </w:r>
      <w:bookmarkEnd w:id="22"/>
    </w:p>
    <w:p w14:paraId="51BB7F89" w14:textId="2610B676" w:rsidR="005D1E34" w:rsidRPr="00411BA1" w:rsidRDefault="005D1E34" w:rsidP="005D1E34">
      <w:pPr>
        <w:spacing w:after="120" w:line="278" w:lineRule="auto"/>
        <w:jc w:val="both"/>
      </w:pPr>
      <w:bookmarkStart w:id="23" w:name="_Hlk219719655"/>
      <w:r w:rsidRPr="00411BA1">
        <w:t xml:space="preserve">Using labour intensity and average delay benchmarks provided by the industry bodies via the Welsh Government and dividing total hours by the yearly average for hours worked, we generate estimates for the total labour demand each year. These totals are then scaled to approximately match the proportion of total hours being spent on retrofit for each SOC. </w:t>
      </w:r>
    </w:p>
    <w:p w14:paraId="21188D27" w14:textId="77777777" w:rsidR="005D1E34" w:rsidRPr="00411BA1" w:rsidRDefault="005D1E34" w:rsidP="005D1E34">
      <w:pPr>
        <w:spacing w:after="120" w:line="278" w:lineRule="auto"/>
        <w:jc w:val="both"/>
      </w:pPr>
      <w:r w:rsidRPr="00411BA1">
        <w:t>Once more, to illustrate our findings, labour demand for core professions per year under the base scenario is presented below, with the full breakdown by SOC, along with findings from the other scenarios, made available in the accompanying Excel workbook.</w:t>
      </w:r>
    </w:p>
    <w:p w14:paraId="45EBD79A" w14:textId="2FD17570" w:rsidR="005D1E34" w:rsidRPr="00411BA1" w:rsidRDefault="005D1E34" w:rsidP="005D1E34">
      <w:pPr>
        <w:pStyle w:val="Caption"/>
        <w:keepNext/>
        <w:rPr>
          <w:color w:val="6D6E71" w:themeColor="accent3"/>
          <w:sz w:val="18"/>
          <w:szCs w:val="14"/>
        </w:rPr>
      </w:pPr>
      <w:r w:rsidRPr="00411BA1">
        <w:rPr>
          <w:color w:val="6D6E71" w:themeColor="accent3"/>
          <w:sz w:val="18"/>
          <w:szCs w:val="14"/>
        </w:rPr>
        <w:t xml:space="preserve">Table </w:t>
      </w:r>
      <w:r w:rsidRPr="00411BA1">
        <w:rPr>
          <w:color w:val="6D6E71" w:themeColor="accent3"/>
          <w:sz w:val="18"/>
          <w:szCs w:val="14"/>
        </w:rPr>
        <w:fldChar w:fldCharType="begin"/>
      </w:r>
      <w:r w:rsidRPr="00411BA1">
        <w:rPr>
          <w:color w:val="6D6E71" w:themeColor="accent3"/>
          <w:sz w:val="18"/>
          <w:szCs w:val="14"/>
        </w:rPr>
        <w:instrText xml:space="preserve"> SEQ Table \* ARABIC </w:instrText>
      </w:r>
      <w:r w:rsidRPr="00411BA1">
        <w:rPr>
          <w:color w:val="6D6E71" w:themeColor="accent3"/>
          <w:sz w:val="18"/>
          <w:szCs w:val="14"/>
        </w:rPr>
        <w:fldChar w:fldCharType="separate"/>
      </w:r>
      <w:r w:rsidR="004775B5">
        <w:rPr>
          <w:noProof/>
          <w:color w:val="6D6E71" w:themeColor="accent3"/>
          <w:sz w:val="18"/>
          <w:szCs w:val="14"/>
        </w:rPr>
        <w:t>8</w:t>
      </w:r>
      <w:r w:rsidRPr="00411BA1">
        <w:rPr>
          <w:color w:val="6D6E71" w:themeColor="accent3"/>
          <w:sz w:val="18"/>
          <w:szCs w:val="14"/>
        </w:rPr>
        <w:fldChar w:fldCharType="end"/>
      </w:r>
      <w:r w:rsidRPr="00411BA1">
        <w:rPr>
          <w:color w:val="6D6E71" w:themeColor="accent3"/>
          <w:sz w:val="18"/>
          <w:szCs w:val="14"/>
        </w:rPr>
        <w:t xml:space="preserve">: </w:t>
      </w:r>
      <w:r w:rsidRPr="00411BA1">
        <w:rPr>
          <w:color w:val="6D6E71" w:themeColor="accent3"/>
          <w:sz w:val="18"/>
        </w:rPr>
        <w:t xml:space="preserve">Labour demand forecasts for core retrofit roles under the </w:t>
      </w:r>
      <w:r w:rsidRPr="005D1E34">
        <w:rPr>
          <w:b/>
          <w:bCs/>
          <w:color w:val="6D6E71" w:themeColor="accent3"/>
          <w:sz w:val="18"/>
          <w:u w:val="single"/>
        </w:rPr>
        <w:t>base</w:t>
      </w:r>
      <w:r w:rsidRPr="00411BA1">
        <w:rPr>
          <w:color w:val="6D6E71" w:themeColor="accent3"/>
          <w:sz w:val="18"/>
        </w:rPr>
        <w:t xml:space="preserve"> scenario (rounded to nearest 100s – totals may differ due to rounding)</w:t>
      </w:r>
    </w:p>
    <w:tbl>
      <w:tblPr>
        <w:tblW w:w="7088" w:type="dxa"/>
        <w:jc w:val="center"/>
        <w:tblLayout w:type="fixed"/>
        <w:tblLook w:val="04A0" w:firstRow="1" w:lastRow="0" w:firstColumn="1" w:lastColumn="0" w:noHBand="0" w:noVBand="1"/>
        <w:tblCaption w:val="Table 8: Labour demand forecasts for core retrofit roles under the base scenario (rounded to nearest 100s – totals may differ due to rounding)"/>
        <w:tblDescription w:val="Table showing projected labour demand for core retrofit roles in Wales under the base scenario, broken down by direct, support, and supervisory roles, from 2025/26 to 2034/35."/>
      </w:tblPr>
      <w:tblGrid>
        <w:gridCol w:w="1417"/>
        <w:gridCol w:w="1418"/>
        <w:gridCol w:w="1417"/>
        <w:gridCol w:w="1418"/>
        <w:gridCol w:w="1418"/>
      </w:tblGrid>
      <w:tr w:rsidR="005D1E34" w:rsidRPr="005D1E34" w14:paraId="58DA3383" w14:textId="77777777" w:rsidTr="003F418B">
        <w:trPr>
          <w:trHeight w:val="563"/>
          <w:jc w:val="center"/>
        </w:trPr>
        <w:tc>
          <w:tcPr>
            <w:tcW w:w="1417" w:type="dxa"/>
            <w:tcBorders>
              <w:top w:val="nil"/>
              <w:left w:val="nil"/>
              <w:bottom w:val="nil"/>
              <w:right w:val="nil"/>
            </w:tcBorders>
            <w:noWrap/>
            <w:vAlign w:val="bottom"/>
            <w:hideMark/>
          </w:tcPr>
          <w:p w14:paraId="03BAFEE6" w14:textId="77777777" w:rsidR="005D1E34" w:rsidRPr="005D1E34" w:rsidRDefault="005D1E34" w:rsidP="003F418B">
            <w:pPr>
              <w:spacing w:after="0"/>
              <w:rPr>
                <w:rFonts w:eastAsia="Times New Roman"/>
                <w:color w:val="auto"/>
                <w:sz w:val="20"/>
                <w:lang w:eastAsia="en-GB"/>
              </w:rPr>
            </w:pPr>
          </w:p>
        </w:tc>
        <w:tc>
          <w:tcPr>
            <w:tcW w:w="1418" w:type="dxa"/>
            <w:tcBorders>
              <w:top w:val="single" w:sz="8" w:space="0" w:color="auto"/>
              <w:left w:val="single" w:sz="8" w:space="0" w:color="auto"/>
              <w:bottom w:val="single" w:sz="8" w:space="0" w:color="auto"/>
              <w:right w:val="single" w:sz="4" w:space="0" w:color="auto"/>
            </w:tcBorders>
            <w:shd w:val="clear" w:color="000000" w:fill="00464D"/>
            <w:vAlign w:val="center"/>
            <w:hideMark/>
          </w:tcPr>
          <w:p w14:paraId="37D169C3" w14:textId="77777777" w:rsidR="005D1E34" w:rsidRPr="005D1E34" w:rsidRDefault="005D1E34" w:rsidP="003F418B">
            <w:pPr>
              <w:spacing w:after="0"/>
              <w:jc w:val="center"/>
              <w:rPr>
                <w:rFonts w:eastAsia="Times New Roman" w:cs="Calibri"/>
                <w:b/>
                <w:bCs/>
                <w:color w:val="FFFFFF"/>
                <w:sz w:val="20"/>
                <w:lang w:eastAsia="en-GB"/>
              </w:rPr>
            </w:pPr>
            <w:r w:rsidRPr="005D1E34">
              <w:rPr>
                <w:rFonts w:eastAsia="Times New Roman" w:cs="Calibri"/>
                <w:b/>
                <w:bCs/>
                <w:color w:val="FFFFFF"/>
                <w:sz w:val="20"/>
                <w:lang w:eastAsia="en-GB"/>
              </w:rPr>
              <w:t>Direct</w:t>
            </w:r>
          </w:p>
        </w:tc>
        <w:tc>
          <w:tcPr>
            <w:tcW w:w="1417" w:type="dxa"/>
            <w:tcBorders>
              <w:top w:val="single" w:sz="8" w:space="0" w:color="auto"/>
              <w:left w:val="nil"/>
              <w:bottom w:val="single" w:sz="8" w:space="0" w:color="auto"/>
              <w:right w:val="single" w:sz="4" w:space="0" w:color="auto"/>
            </w:tcBorders>
            <w:shd w:val="clear" w:color="000000" w:fill="00464D"/>
            <w:vAlign w:val="center"/>
            <w:hideMark/>
          </w:tcPr>
          <w:p w14:paraId="77D33E1F" w14:textId="77777777" w:rsidR="005D1E34" w:rsidRPr="005D1E34" w:rsidRDefault="005D1E34" w:rsidP="003F418B">
            <w:pPr>
              <w:spacing w:after="0"/>
              <w:jc w:val="center"/>
              <w:rPr>
                <w:rFonts w:eastAsia="Times New Roman" w:cs="Calibri"/>
                <w:b/>
                <w:bCs/>
                <w:color w:val="FFFFFF"/>
                <w:sz w:val="20"/>
                <w:lang w:eastAsia="en-GB"/>
              </w:rPr>
            </w:pPr>
            <w:r w:rsidRPr="005D1E34">
              <w:rPr>
                <w:rFonts w:eastAsia="Times New Roman" w:cs="Calibri"/>
                <w:b/>
                <w:bCs/>
                <w:color w:val="FFFFFF"/>
                <w:sz w:val="20"/>
                <w:lang w:eastAsia="en-GB"/>
              </w:rPr>
              <w:t>Support</w:t>
            </w:r>
          </w:p>
        </w:tc>
        <w:tc>
          <w:tcPr>
            <w:tcW w:w="1418" w:type="dxa"/>
            <w:tcBorders>
              <w:top w:val="single" w:sz="8" w:space="0" w:color="auto"/>
              <w:left w:val="nil"/>
              <w:bottom w:val="single" w:sz="8" w:space="0" w:color="auto"/>
              <w:right w:val="single" w:sz="4" w:space="0" w:color="auto"/>
            </w:tcBorders>
            <w:shd w:val="clear" w:color="000000" w:fill="00464D"/>
            <w:vAlign w:val="center"/>
            <w:hideMark/>
          </w:tcPr>
          <w:p w14:paraId="7E0314C2" w14:textId="77777777" w:rsidR="005D1E34" w:rsidRPr="005D1E34" w:rsidRDefault="005D1E34" w:rsidP="003F418B">
            <w:pPr>
              <w:spacing w:after="0"/>
              <w:jc w:val="center"/>
              <w:rPr>
                <w:rFonts w:eastAsia="Times New Roman" w:cs="Calibri"/>
                <w:b/>
                <w:bCs/>
                <w:color w:val="FFFFFF"/>
                <w:sz w:val="20"/>
                <w:lang w:eastAsia="en-GB"/>
              </w:rPr>
            </w:pPr>
            <w:r w:rsidRPr="005D1E34">
              <w:rPr>
                <w:rFonts w:eastAsia="Times New Roman" w:cs="Calibri"/>
                <w:b/>
                <w:bCs/>
                <w:color w:val="FFFFFF"/>
                <w:sz w:val="20"/>
                <w:lang w:eastAsia="en-GB"/>
              </w:rPr>
              <w:t>Supervisory</w:t>
            </w:r>
          </w:p>
        </w:tc>
        <w:tc>
          <w:tcPr>
            <w:tcW w:w="1418" w:type="dxa"/>
            <w:tcBorders>
              <w:top w:val="single" w:sz="8" w:space="0" w:color="auto"/>
              <w:left w:val="nil"/>
              <w:bottom w:val="single" w:sz="8" w:space="0" w:color="auto"/>
              <w:right w:val="single" w:sz="8" w:space="0" w:color="auto"/>
            </w:tcBorders>
            <w:shd w:val="clear" w:color="000000" w:fill="00464D"/>
            <w:vAlign w:val="center"/>
            <w:hideMark/>
          </w:tcPr>
          <w:p w14:paraId="57404D16" w14:textId="77777777" w:rsidR="005D1E34" w:rsidRPr="005D1E34" w:rsidRDefault="005D1E34" w:rsidP="003F418B">
            <w:pPr>
              <w:spacing w:after="0"/>
              <w:jc w:val="center"/>
              <w:rPr>
                <w:rFonts w:eastAsia="Times New Roman" w:cs="Calibri"/>
                <w:b/>
                <w:bCs/>
                <w:color w:val="FFFFFF"/>
                <w:sz w:val="20"/>
                <w:lang w:eastAsia="en-GB"/>
              </w:rPr>
            </w:pPr>
            <w:r w:rsidRPr="005D1E34">
              <w:rPr>
                <w:rFonts w:eastAsia="Times New Roman" w:cs="Calibri"/>
                <w:b/>
                <w:bCs/>
                <w:color w:val="FFFFFF"/>
                <w:sz w:val="20"/>
                <w:lang w:eastAsia="en-GB"/>
              </w:rPr>
              <w:t>Total</w:t>
            </w:r>
          </w:p>
        </w:tc>
      </w:tr>
      <w:tr w:rsidR="005D1E34" w:rsidRPr="005D1E34" w14:paraId="0538258D" w14:textId="77777777" w:rsidTr="003F418B">
        <w:trPr>
          <w:trHeight w:val="563"/>
          <w:jc w:val="center"/>
        </w:trPr>
        <w:tc>
          <w:tcPr>
            <w:tcW w:w="1417" w:type="dxa"/>
            <w:tcBorders>
              <w:top w:val="single" w:sz="8" w:space="0" w:color="auto"/>
              <w:left w:val="single" w:sz="8" w:space="0" w:color="auto"/>
              <w:bottom w:val="single" w:sz="8" w:space="0" w:color="auto"/>
              <w:right w:val="single" w:sz="4" w:space="0" w:color="auto"/>
            </w:tcBorders>
            <w:shd w:val="clear" w:color="000000" w:fill="00464D"/>
            <w:vAlign w:val="center"/>
            <w:hideMark/>
          </w:tcPr>
          <w:p w14:paraId="45F6FF5B" w14:textId="77777777" w:rsidR="005D1E34" w:rsidRPr="005D1E34" w:rsidRDefault="005D1E34" w:rsidP="003F418B">
            <w:pPr>
              <w:spacing w:after="0"/>
              <w:jc w:val="center"/>
              <w:rPr>
                <w:rFonts w:eastAsia="Times New Roman" w:cs="Calibri"/>
                <w:b/>
                <w:bCs/>
                <w:color w:val="FFFFFF"/>
                <w:sz w:val="20"/>
                <w:lang w:eastAsia="en-GB"/>
              </w:rPr>
            </w:pPr>
            <w:r w:rsidRPr="005D1E34">
              <w:rPr>
                <w:rFonts w:eastAsia="Times New Roman" w:cs="Calibri"/>
                <w:b/>
                <w:bCs/>
                <w:color w:val="FFFFFF"/>
                <w:sz w:val="20"/>
                <w:lang w:eastAsia="en-GB"/>
              </w:rPr>
              <w:t>2025/26</w:t>
            </w:r>
          </w:p>
        </w:tc>
        <w:tc>
          <w:tcPr>
            <w:tcW w:w="141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FAF2CF0"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13,300</w:t>
            </w:r>
          </w:p>
        </w:tc>
        <w:tc>
          <w:tcPr>
            <w:tcW w:w="1417" w:type="dxa"/>
            <w:tcBorders>
              <w:top w:val="single" w:sz="4" w:space="0" w:color="auto"/>
              <w:left w:val="nil"/>
              <w:bottom w:val="single" w:sz="4" w:space="0" w:color="auto"/>
              <w:right w:val="single" w:sz="4" w:space="0" w:color="auto"/>
            </w:tcBorders>
            <w:shd w:val="clear" w:color="000000" w:fill="FFFFFF"/>
            <w:vAlign w:val="center"/>
            <w:hideMark/>
          </w:tcPr>
          <w:p w14:paraId="6E5BB5B9"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10,600</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4F575F6F"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3,400</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65F50E72"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27,400</w:t>
            </w:r>
          </w:p>
        </w:tc>
      </w:tr>
      <w:tr w:rsidR="005D1E34" w:rsidRPr="005D1E34" w14:paraId="7144DE3D"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5605488B" w14:textId="77777777" w:rsidR="005D1E34" w:rsidRPr="005D1E34" w:rsidRDefault="005D1E34" w:rsidP="003F418B">
            <w:pPr>
              <w:spacing w:after="0"/>
              <w:jc w:val="center"/>
              <w:rPr>
                <w:rFonts w:eastAsia="Times New Roman" w:cs="Calibri"/>
                <w:b/>
                <w:bCs/>
                <w:color w:val="FFFFFF"/>
                <w:sz w:val="20"/>
                <w:lang w:eastAsia="en-GB"/>
              </w:rPr>
            </w:pPr>
            <w:r w:rsidRPr="005D1E34">
              <w:rPr>
                <w:rFonts w:eastAsia="Times New Roman" w:cs="Calibri"/>
                <w:b/>
                <w:bCs/>
                <w:color w:val="FFFFFF"/>
                <w:sz w:val="20"/>
                <w:lang w:eastAsia="en-GB"/>
              </w:rPr>
              <w:t>2026/27</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23BCF0C9"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15,700</w:t>
            </w:r>
          </w:p>
        </w:tc>
        <w:tc>
          <w:tcPr>
            <w:tcW w:w="1417" w:type="dxa"/>
            <w:tcBorders>
              <w:top w:val="nil"/>
              <w:left w:val="nil"/>
              <w:bottom w:val="single" w:sz="4" w:space="0" w:color="auto"/>
              <w:right w:val="single" w:sz="4" w:space="0" w:color="auto"/>
            </w:tcBorders>
            <w:shd w:val="clear" w:color="000000" w:fill="FFFFFF"/>
            <w:vAlign w:val="center"/>
            <w:hideMark/>
          </w:tcPr>
          <w:p w14:paraId="226E2544"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11,900</w:t>
            </w:r>
          </w:p>
        </w:tc>
        <w:tc>
          <w:tcPr>
            <w:tcW w:w="1418" w:type="dxa"/>
            <w:tcBorders>
              <w:top w:val="nil"/>
              <w:left w:val="nil"/>
              <w:bottom w:val="single" w:sz="4" w:space="0" w:color="auto"/>
              <w:right w:val="single" w:sz="4" w:space="0" w:color="auto"/>
            </w:tcBorders>
            <w:shd w:val="clear" w:color="000000" w:fill="FFFFFF"/>
            <w:vAlign w:val="center"/>
            <w:hideMark/>
          </w:tcPr>
          <w:p w14:paraId="769857CC"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3,600</w:t>
            </w:r>
          </w:p>
        </w:tc>
        <w:tc>
          <w:tcPr>
            <w:tcW w:w="1418" w:type="dxa"/>
            <w:tcBorders>
              <w:top w:val="nil"/>
              <w:left w:val="nil"/>
              <w:bottom w:val="single" w:sz="4" w:space="0" w:color="auto"/>
              <w:right w:val="single" w:sz="4" w:space="0" w:color="auto"/>
            </w:tcBorders>
            <w:shd w:val="clear" w:color="000000" w:fill="FFFFFF"/>
            <w:vAlign w:val="center"/>
            <w:hideMark/>
          </w:tcPr>
          <w:p w14:paraId="4D6D32DB"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31,200</w:t>
            </w:r>
          </w:p>
        </w:tc>
      </w:tr>
      <w:tr w:rsidR="005D1E34" w:rsidRPr="005D1E34" w14:paraId="0DC9A1A3"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7A0EAC76" w14:textId="77777777" w:rsidR="005D1E34" w:rsidRPr="005D1E34" w:rsidRDefault="005D1E34" w:rsidP="003F418B">
            <w:pPr>
              <w:spacing w:after="0"/>
              <w:jc w:val="center"/>
              <w:rPr>
                <w:rFonts w:eastAsia="Times New Roman" w:cs="Calibri"/>
                <w:b/>
                <w:bCs/>
                <w:color w:val="FFFFFF"/>
                <w:sz w:val="20"/>
                <w:lang w:eastAsia="en-GB"/>
              </w:rPr>
            </w:pPr>
            <w:r w:rsidRPr="005D1E34">
              <w:rPr>
                <w:rFonts w:eastAsia="Times New Roman" w:cs="Calibri"/>
                <w:b/>
                <w:bCs/>
                <w:color w:val="FFFFFF"/>
                <w:sz w:val="20"/>
                <w:lang w:eastAsia="en-GB"/>
              </w:rPr>
              <w:t>2027/28</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1FFB370F"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18,600</w:t>
            </w:r>
          </w:p>
        </w:tc>
        <w:tc>
          <w:tcPr>
            <w:tcW w:w="1417" w:type="dxa"/>
            <w:tcBorders>
              <w:top w:val="nil"/>
              <w:left w:val="nil"/>
              <w:bottom w:val="single" w:sz="4" w:space="0" w:color="auto"/>
              <w:right w:val="single" w:sz="4" w:space="0" w:color="auto"/>
            </w:tcBorders>
            <w:shd w:val="clear" w:color="000000" w:fill="FFFFFF"/>
            <w:vAlign w:val="center"/>
            <w:hideMark/>
          </w:tcPr>
          <w:p w14:paraId="037C0E99"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13,500</w:t>
            </w:r>
          </w:p>
        </w:tc>
        <w:tc>
          <w:tcPr>
            <w:tcW w:w="1418" w:type="dxa"/>
            <w:tcBorders>
              <w:top w:val="nil"/>
              <w:left w:val="nil"/>
              <w:bottom w:val="single" w:sz="4" w:space="0" w:color="auto"/>
              <w:right w:val="single" w:sz="4" w:space="0" w:color="auto"/>
            </w:tcBorders>
            <w:shd w:val="clear" w:color="000000" w:fill="FFFFFF"/>
            <w:vAlign w:val="center"/>
            <w:hideMark/>
          </w:tcPr>
          <w:p w14:paraId="4948B662"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3,700</w:t>
            </w:r>
          </w:p>
        </w:tc>
        <w:tc>
          <w:tcPr>
            <w:tcW w:w="1418" w:type="dxa"/>
            <w:tcBorders>
              <w:top w:val="nil"/>
              <w:left w:val="nil"/>
              <w:bottom w:val="single" w:sz="4" w:space="0" w:color="auto"/>
              <w:right w:val="single" w:sz="4" w:space="0" w:color="auto"/>
            </w:tcBorders>
            <w:shd w:val="clear" w:color="000000" w:fill="FFFFFF"/>
            <w:vAlign w:val="center"/>
            <w:hideMark/>
          </w:tcPr>
          <w:p w14:paraId="0589AD4A"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35,800</w:t>
            </w:r>
          </w:p>
        </w:tc>
      </w:tr>
      <w:tr w:rsidR="005D1E34" w:rsidRPr="005D1E34" w14:paraId="792D78AD"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0B4AB512" w14:textId="77777777" w:rsidR="005D1E34" w:rsidRPr="005D1E34" w:rsidRDefault="005D1E34" w:rsidP="003F418B">
            <w:pPr>
              <w:spacing w:after="0"/>
              <w:jc w:val="center"/>
              <w:rPr>
                <w:rFonts w:eastAsia="Times New Roman" w:cs="Calibri"/>
                <w:b/>
                <w:bCs/>
                <w:color w:val="FFFFFF"/>
                <w:sz w:val="20"/>
                <w:lang w:eastAsia="en-GB"/>
              </w:rPr>
            </w:pPr>
            <w:r w:rsidRPr="005D1E34">
              <w:rPr>
                <w:rFonts w:eastAsia="Times New Roman" w:cs="Calibri"/>
                <w:b/>
                <w:bCs/>
                <w:color w:val="FFFFFF"/>
                <w:sz w:val="20"/>
                <w:lang w:eastAsia="en-GB"/>
              </w:rPr>
              <w:t>2028/29</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4C11389F"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22,100</w:t>
            </w:r>
          </w:p>
        </w:tc>
        <w:tc>
          <w:tcPr>
            <w:tcW w:w="1417" w:type="dxa"/>
            <w:tcBorders>
              <w:top w:val="nil"/>
              <w:left w:val="nil"/>
              <w:bottom w:val="single" w:sz="4" w:space="0" w:color="auto"/>
              <w:right w:val="single" w:sz="4" w:space="0" w:color="auto"/>
            </w:tcBorders>
            <w:shd w:val="clear" w:color="000000" w:fill="FFFFFF"/>
            <w:vAlign w:val="center"/>
            <w:hideMark/>
          </w:tcPr>
          <w:p w14:paraId="4BB617BC"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15,300</w:t>
            </w:r>
          </w:p>
        </w:tc>
        <w:tc>
          <w:tcPr>
            <w:tcW w:w="1418" w:type="dxa"/>
            <w:tcBorders>
              <w:top w:val="nil"/>
              <w:left w:val="nil"/>
              <w:bottom w:val="single" w:sz="4" w:space="0" w:color="auto"/>
              <w:right w:val="single" w:sz="4" w:space="0" w:color="auto"/>
            </w:tcBorders>
            <w:shd w:val="clear" w:color="000000" w:fill="FFFFFF"/>
            <w:vAlign w:val="center"/>
            <w:hideMark/>
          </w:tcPr>
          <w:p w14:paraId="23B95753"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3,900</w:t>
            </w:r>
          </w:p>
        </w:tc>
        <w:tc>
          <w:tcPr>
            <w:tcW w:w="1418" w:type="dxa"/>
            <w:tcBorders>
              <w:top w:val="nil"/>
              <w:left w:val="nil"/>
              <w:bottom w:val="single" w:sz="4" w:space="0" w:color="auto"/>
              <w:right w:val="single" w:sz="4" w:space="0" w:color="auto"/>
            </w:tcBorders>
            <w:shd w:val="clear" w:color="000000" w:fill="FFFFFF"/>
            <w:vAlign w:val="center"/>
            <w:hideMark/>
          </w:tcPr>
          <w:p w14:paraId="1857BE55"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41,300</w:t>
            </w:r>
          </w:p>
        </w:tc>
      </w:tr>
      <w:tr w:rsidR="005D1E34" w:rsidRPr="005D1E34" w14:paraId="60DB8329"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607B6EB8" w14:textId="77777777" w:rsidR="005D1E34" w:rsidRPr="005D1E34" w:rsidRDefault="005D1E34" w:rsidP="003F418B">
            <w:pPr>
              <w:spacing w:after="0"/>
              <w:jc w:val="center"/>
              <w:rPr>
                <w:rFonts w:eastAsia="Times New Roman" w:cs="Calibri"/>
                <w:b/>
                <w:bCs/>
                <w:color w:val="FFFFFF"/>
                <w:sz w:val="20"/>
                <w:lang w:eastAsia="en-GB"/>
              </w:rPr>
            </w:pPr>
            <w:r w:rsidRPr="005D1E34">
              <w:rPr>
                <w:rFonts w:eastAsia="Times New Roman" w:cs="Calibri"/>
                <w:b/>
                <w:bCs/>
                <w:color w:val="FFFFFF"/>
                <w:sz w:val="20"/>
                <w:lang w:eastAsia="en-GB"/>
              </w:rPr>
              <w:t>2029/30</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7A537C01"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27,000</w:t>
            </w:r>
          </w:p>
        </w:tc>
        <w:tc>
          <w:tcPr>
            <w:tcW w:w="1417" w:type="dxa"/>
            <w:tcBorders>
              <w:top w:val="nil"/>
              <w:left w:val="nil"/>
              <w:bottom w:val="single" w:sz="4" w:space="0" w:color="auto"/>
              <w:right w:val="single" w:sz="4" w:space="0" w:color="auto"/>
            </w:tcBorders>
            <w:shd w:val="clear" w:color="000000" w:fill="FFFFFF"/>
            <w:vAlign w:val="center"/>
            <w:hideMark/>
          </w:tcPr>
          <w:p w14:paraId="6FC93988"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17,900</w:t>
            </w:r>
          </w:p>
        </w:tc>
        <w:tc>
          <w:tcPr>
            <w:tcW w:w="1418" w:type="dxa"/>
            <w:tcBorders>
              <w:top w:val="nil"/>
              <w:left w:val="nil"/>
              <w:bottom w:val="single" w:sz="4" w:space="0" w:color="auto"/>
              <w:right w:val="single" w:sz="4" w:space="0" w:color="auto"/>
            </w:tcBorders>
            <w:shd w:val="clear" w:color="000000" w:fill="FFFFFF"/>
            <w:vAlign w:val="center"/>
            <w:hideMark/>
          </w:tcPr>
          <w:p w14:paraId="15B10A53"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4,100</w:t>
            </w:r>
          </w:p>
        </w:tc>
        <w:tc>
          <w:tcPr>
            <w:tcW w:w="1418" w:type="dxa"/>
            <w:tcBorders>
              <w:top w:val="nil"/>
              <w:left w:val="nil"/>
              <w:bottom w:val="single" w:sz="4" w:space="0" w:color="auto"/>
              <w:right w:val="single" w:sz="4" w:space="0" w:color="auto"/>
            </w:tcBorders>
            <w:shd w:val="clear" w:color="000000" w:fill="FFFFFF"/>
            <w:vAlign w:val="center"/>
            <w:hideMark/>
          </w:tcPr>
          <w:p w14:paraId="43E5C5A1"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48,900</w:t>
            </w:r>
          </w:p>
        </w:tc>
      </w:tr>
      <w:tr w:rsidR="005D1E34" w:rsidRPr="005D1E34" w14:paraId="6D46129C"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60439548" w14:textId="77777777" w:rsidR="005D1E34" w:rsidRPr="005D1E34" w:rsidRDefault="005D1E34" w:rsidP="003F418B">
            <w:pPr>
              <w:spacing w:after="0"/>
              <w:jc w:val="center"/>
              <w:rPr>
                <w:rFonts w:eastAsia="Times New Roman" w:cs="Calibri"/>
                <w:b/>
                <w:bCs/>
                <w:color w:val="FFFFFF"/>
                <w:sz w:val="20"/>
                <w:lang w:eastAsia="en-GB"/>
              </w:rPr>
            </w:pPr>
            <w:r w:rsidRPr="005D1E34">
              <w:rPr>
                <w:rFonts w:eastAsia="Times New Roman" w:cs="Calibri"/>
                <w:b/>
                <w:bCs/>
                <w:color w:val="FFFFFF"/>
                <w:sz w:val="20"/>
                <w:lang w:eastAsia="en-GB"/>
              </w:rPr>
              <w:t>2030/31</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1BC2DFBF"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33,400</w:t>
            </w:r>
          </w:p>
        </w:tc>
        <w:tc>
          <w:tcPr>
            <w:tcW w:w="1417" w:type="dxa"/>
            <w:tcBorders>
              <w:top w:val="nil"/>
              <w:left w:val="nil"/>
              <w:bottom w:val="single" w:sz="4" w:space="0" w:color="auto"/>
              <w:right w:val="single" w:sz="4" w:space="0" w:color="auto"/>
            </w:tcBorders>
            <w:shd w:val="clear" w:color="000000" w:fill="FFFFFF"/>
            <w:vAlign w:val="center"/>
            <w:hideMark/>
          </w:tcPr>
          <w:p w14:paraId="1E0E6E24"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21,200</w:t>
            </w:r>
          </w:p>
        </w:tc>
        <w:tc>
          <w:tcPr>
            <w:tcW w:w="1418" w:type="dxa"/>
            <w:tcBorders>
              <w:top w:val="nil"/>
              <w:left w:val="nil"/>
              <w:bottom w:val="single" w:sz="4" w:space="0" w:color="auto"/>
              <w:right w:val="single" w:sz="4" w:space="0" w:color="auto"/>
            </w:tcBorders>
            <w:shd w:val="clear" w:color="000000" w:fill="FFFFFF"/>
            <w:vAlign w:val="center"/>
            <w:hideMark/>
          </w:tcPr>
          <w:p w14:paraId="2AA4270F"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4,200</w:t>
            </w:r>
          </w:p>
        </w:tc>
        <w:tc>
          <w:tcPr>
            <w:tcW w:w="1418" w:type="dxa"/>
            <w:tcBorders>
              <w:top w:val="nil"/>
              <w:left w:val="nil"/>
              <w:bottom w:val="single" w:sz="4" w:space="0" w:color="auto"/>
              <w:right w:val="single" w:sz="4" w:space="0" w:color="auto"/>
            </w:tcBorders>
            <w:shd w:val="clear" w:color="000000" w:fill="FFFFFF"/>
            <w:vAlign w:val="center"/>
            <w:hideMark/>
          </w:tcPr>
          <w:p w14:paraId="767B24F7"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58,900</w:t>
            </w:r>
          </w:p>
        </w:tc>
      </w:tr>
      <w:tr w:rsidR="005D1E34" w:rsidRPr="005D1E34" w14:paraId="12281AFE"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3444E6AE" w14:textId="77777777" w:rsidR="005D1E34" w:rsidRPr="005D1E34" w:rsidRDefault="005D1E34" w:rsidP="003F418B">
            <w:pPr>
              <w:spacing w:after="0"/>
              <w:jc w:val="center"/>
              <w:rPr>
                <w:rFonts w:eastAsia="Times New Roman" w:cs="Calibri"/>
                <w:b/>
                <w:bCs/>
                <w:color w:val="FFFFFF"/>
                <w:sz w:val="20"/>
                <w:lang w:eastAsia="en-GB"/>
              </w:rPr>
            </w:pPr>
            <w:r w:rsidRPr="005D1E34">
              <w:rPr>
                <w:rFonts w:eastAsia="Times New Roman" w:cs="Calibri"/>
                <w:b/>
                <w:bCs/>
                <w:color w:val="FFFFFF"/>
                <w:sz w:val="20"/>
                <w:lang w:eastAsia="en-GB"/>
              </w:rPr>
              <w:t>2031/32</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52526C5D"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43,300</w:t>
            </w:r>
          </w:p>
        </w:tc>
        <w:tc>
          <w:tcPr>
            <w:tcW w:w="1417" w:type="dxa"/>
            <w:tcBorders>
              <w:top w:val="nil"/>
              <w:left w:val="nil"/>
              <w:bottom w:val="single" w:sz="4" w:space="0" w:color="auto"/>
              <w:right w:val="single" w:sz="4" w:space="0" w:color="auto"/>
            </w:tcBorders>
            <w:shd w:val="clear" w:color="000000" w:fill="FFFFFF"/>
            <w:vAlign w:val="center"/>
            <w:hideMark/>
          </w:tcPr>
          <w:p w14:paraId="3F140CBE"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26,300</w:t>
            </w:r>
          </w:p>
        </w:tc>
        <w:tc>
          <w:tcPr>
            <w:tcW w:w="1418" w:type="dxa"/>
            <w:tcBorders>
              <w:top w:val="nil"/>
              <w:left w:val="nil"/>
              <w:bottom w:val="single" w:sz="4" w:space="0" w:color="auto"/>
              <w:right w:val="single" w:sz="4" w:space="0" w:color="auto"/>
            </w:tcBorders>
            <w:shd w:val="clear" w:color="000000" w:fill="FFFFFF"/>
            <w:vAlign w:val="center"/>
            <w:hideMark/>
          </w:tcPr>
          <w:p w14:paraId="7F39B082"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4,400</w:t>
            </w:r>
          </w:p>
        </w:tc>
        <w:tc>
          <w:tcPr>
            <w:tcW w:w="1418" w:type="dxa"/>
            <w:tcBorders>
              <w:top w:val="nil"/>
              <w:left w:val="nil"/>
              <w:bottom w:val="single" w:sz="4" w:space="0" w:color="auto"/>
              <w:right w:val="single" w:sz="4" w:space="0" w:color="auto"/>
            </w:tcBorders>
            <w:shd w:val="clear" w:color="000000" w:fill="FFFFFF"/>
            <w:vAlign w:val="center"/>
            <w:hideMark/>
          </w:tcPr>
          <w:p w14:paraId="6335631C"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74,000</w:t>
            </w:r>
          </w:p>
        </w:tc>
      </w:tr>
      <w:tr w:rsidR="005D1E34" w:rsidRPr="005D1E34" w14:paraId="42ACF51D"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27A03261" w14:textId="77777777" w:rsidR="005D1E34" w:rsidRPr="005D1E34" w:rsidRDefault="005D1E34" w:rsidP="003F418B">
            <w:pPr>
              <w:spacing w:after="0"/>
              <w:jc w:val="center"/>
              <w:rPr>
                <w:rFonts w:eastAsia="Times New Roman" w:cs="Calibri"/>
                <w:b/>
                <w:bCs/>
                <w:color w:val="FFFFFF"/>
                <w:sz w:val="20"/>
                <w:lang w:eastAsia="en-GB"/>
              </w:rPr>
            </w:pPr>
            <w:r w:rsidRPr="005D1E34">
              <w:rPr>
                <w:rFonts w:eastAsia="Times New Roman" w:cs="Calibri"/>
                <w:b/>
                <w:bCs/>
                <w:color w:val="FFFFFF"/>
                <w:sz w:val="20"/>
                <w:lang w:eastAsia="en-GB"/>
              </w:rPr>
              <w:t>2032/33</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47B97E3E"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46,000</w:t>
            </w:r>
          </w:p>
        </w:tc>
        <w:tc>
          <w:tcPr>
            <w:tcW w:w="1417" w:type="dxa"/>
            <w:tcBorders>
              <w:top w:val="nil"/>
              <w:left w:val="nil"/>
              <w:bottom w:val="single" w:sz="4" w:space="0" w:color="auto"/>
              <w:right w:val="single" w:sz="4" w:space="0" w:color="auto"/>
            </w:tcBorders>
            <w:shd w:val="clear" w:color="000000" w:fill="FFFFFF"/>
            <w:vAlign w:val="center"/>
            <w:hideMark/>
          </w:tcPr>
          <w:p w14:paraId="322CE38C"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27,700</w:t>
            </w:r>
          </w:p>
        </w:tc>
        <w:tc>
          <w:tcPr>
            <w:tcW w:w="1418" w:type="dxa"/>
            <w:tcBorders>
              <w:top w:val="nil"/>
              <w:left w:val="nil"/>
              <w:bottom w:val="single" w:sz="4" w:space="0" w:color="auto"/>
              <w:right w:val="single" w:sz="4" w:space="0" w:color="auto"/>
            </w:tcBorders>
            <w:shd w:val="clear" w:color="000000" w:fill="FFFFFF"/>
            <w:vAlign w:val="center"/>
            <w:hideMark/>
          </w:tcPr>
          <w:p w14:paraId="7F222F39"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4,600</w:t>
            </w:r>
          </w:p>
        </w:tc>
        <w:tc>
          <w:tcPr>
            <w:tcW w:w="1418" w:type="dxa"/>
            <w:tcBorders>
              <w:top w:val="nil"/>
              <w:left w:val="nil"/>
              <w:bottom w:val="single" w:sz="4" w:space="0" w:color="auto"/>
              <w:right w:val="single" w:sz="4" w:space="0" w:color="auto"/>
            </w:tcBorders>
            <w:shd w:val="clear" w:color="000000" w:fill="FFFFFF"/>
            <w:vAlign w:val="center"/>
            <w:hideMark/>
          </w:tcPr>
          <w:p w14:paraId="5D7A94D7"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78,200</w:t>
            </w:r>
          </w:p>
        </w:tc>
      </w:tr>
      <w:tr w:rsidR="005D1E34" w:rsidRPr="005D1E34" w14:paraId="51CA3824"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004440CA" w14:textId="77777777" w:rsidR="005D1E34" w:rsidRPr="005D1E34" w:rsidRDefault="005D1E34" w:rsidP="003F418B">
            <w:pPr>
              <w:spacing w:after="0"/>
              <w:jc w:val="center"/>
              <w:rPr>
                <w:rFonts w:eastAsia="Times New Roman" w:cs="Calibri"/>
                <w:b/>
                <w:bCs/>
                <w:color w:val="FFFFFF"/>
                <w:sz w:val="20"/>
                <w:lang w:eastAsia="en-GB"/>
              </w:rPr>
            </w:pPr>
            <w:r w:rsidRPr="005D1E34">
              <w:rPr>
                <w:rFonts w:eastAsia="Times New Roman" w:cs="Calibri"/>
                <w:b/>
                <w:bCs/>
                <w:color w:val="FFFFFF"/>
                <w:sz w:val="20"/>
                <w:lang w:eastAsia="en-GB"/>
              </w:rPr>
              <w:t>2033/34</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55764466"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44,400</w:t>
            </w:r>
          </w:p>
        </w:tc>
        <w:tc>
          <w:tcPr>
            <w:tcW w:w="1417" w:type="dxa"/>
            <w:tcBorders>
              <w:top w:val="nil"/>
              <w:left w:val="nil"/>
              <w:bottom w:val="single" w:sz="4" w:space="0" w:color="auto"/>
              <w:right w:val="single" w:sz="4" w:space="0" w:color="auto"/>
            </w:tcBorders>
            <w:shd w:val="clear" w:color="000000" w:fill="FFFFFF"/>
            <w:vAlign w:val="center"/>
            <w:hideMark/>
          </w:tcPr>
          <w:p w14:paraId="352ACDAE"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26,900</w:t>
            </w:r>
          </w:p>
        </w:tc>
        <w:tc>
          <w:tcPr>
            <w:tcW w:w="1418" w:type="dxa"/>
            <w:tcBorders>
              <w:top w:val="nil"/>
              <w:left w:val="nil"/>
              <w:bottom w:val="single" w:sz="4" w:space="0" w:color="auto"/>
              <w:right w:val="single" w:sz="4" w:space="0" w:color="auto"/>
            </w:tcBorders>
            <w:shd w:val="clear" w:color="000000" w:fill="FFFFFF"/>
            <w:vAlign w:val="center"/>
            <w:hideMark/>
          </w:tcPr>
          <w:p w14:paraId="46215F28"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4,700</w:t>
            </w:r>
          </w:p>
        </w:tc>
        <w:tc>
          <w:tcPr>
            <w:tcW w:w="1418" w:type="dxa"/>
            <w:tcBorders>
              <w:top w:val="nil"/>
              <w:left w:val="nil"/>
              <w:bottom w:val="single" w:sz="4" w:space="0" w:color="auto"/>
              <w:right w:val="single" w:sz="4" w:space="0" w:color="auto"/>
            </w:tcBorders>
            <w:shd w:val="clear" w:color="000000" w:fill="FFFFFF"/>
            <w:vAlign w:val="center"/>
            <w:hideMark/>
          </w:tcPr>
          <w:p w14:paraId="094C5E4C"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76,000</w:t>
            </w:r>
          </w:p>
        </w:tc>
      </w:tr>
      <w:tr w:rsidR="005D1E34" w:rsidRPr="005D1E34" w14:paraId="5FD908DA" w14:textId="77777777" w:rsidTr="003F418B">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55D88F33" w14:textId="77777777" w:rsidR="005D1E34" w:rsidRPr="005D1E34" w:rsidRDefault="005D1E34" w:rsidP="003F418B">
            <w:pPr>
              <w:spacing w:after="0"/>
              <w:jc w:val="center"/>
              <w:rPr>
                <w:rFonts w:eastAsia="Times New Roman" w:cs="Calibri"/>
                <w:b/>
                <w:bCs/>
                <w:color w:val="FFFFFF"/>
                <w:sz w:val="20"/>
                <w:lang w:eastAsia="en-GB"/>
              </w:rPr>
            </w:pPr>
            <w:r w:rsidRPr="005D1E34">
              <w:rPr>
                <w:rFonts w:eastAsia="Times New Roman" w:cs="Calibri"/>
                <w:b/>
                <w:bCs/>
                <w:color w:val="FFFFFF"/>
                <w:sz w:val="20"/>
                <w:lang w:eastAsia="en-GB"/>
              </w:rPr>
              <w:t>2034/35</w:t>
            </w:r>
          </w:p>
        </w:tc>
        <w:tc>
          <w:tcPr>
            <w:tcW w:w="1418" w:type="dxa"/>
            <w:tcBorders>
              <w:top w:val="nil"/>
              <w:left w:val="single" w:sz="4" w:space="0" w:color="auto"/>
              <w:bottom w:val="single" w:sz="4" w:space="0" w:color="auto"/>
              <w:right w:val="single" w:sz="4" w:space="0" w:color="auto"/>
            </w:tcBorders>
            <w:shd w:val="clear" w:color="000000" w:fill="FFFFFF"/>
            <w:vAlign w:val="center"/>
            <w:hideMark/>
          </w:tcPr>
          <w:p w14:paraId="6FFA745C"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44,600</w:t>
            </w:r>
          </w:p>
        </w:tc>
        <w:tc>
          <w:tcPr>
            <w:tcW w:w="1417" w:type="dxa"/>
            <w:tcBorders>
              <w:top w:val="nil"/>
              <w:left w:val="nil"/>
              <w:bottom w:val="single" w:sz="4" w:space="0" w:color="auto"/>
              <w:right w:val="single" w:sz="4" w:space="0" w:color="auto"/>
            </w:tcBorders>
            <w:shd w:val="clear" w:color="000000" w:fill="FFFFFF"/>
            <w:vAlign w:val="center"/>
            <w:hideMark/>
          </w:tcPr>
          <w:p w14:paraId="764EEFA5"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27,000</w:t>
            </w:r>
          </w:p>
        </w:tc>
        <w:tc>
          <w:tcPr>
            <w:tcW w:w="1418" w:type="dxa"/>
            <w:tcBorders>
              <w:top w:val="nil"/>
              <w:left w:val="nil"/>
              <w:bottom w:val="single" w:sz="4" w:space="0" w:color="auto"/>
              <w:right w:val="single" w:sz="4" w:space="0" w:color="auto"/>
            </w:tcBorders>
            <w:shd w:val="clear" w:color="000000" w:fill="FFFFFF"/>
            <w:vAlign w:val="center"/>
            <w:hideMark/>
          </w:tcPr>
          <w:p w14:paraId="4D4C8174"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4,900</w:t>
            </w:r>
          </w:p>
        </w:tc>
        <w:tc>
          <w:tcPr>
            <w:tcW w:w="1418" w:type="dxa"/>
            <w:tcBorders>
              <w:top w:val="nil"/>
              <w:left w:val="nil"/>
              <w:bottom w:val="single" w:sz="4" w:space="0" w:color="auto"/>
              <w:right w:val="single" w:sz="4" w:space="0" w:color="auto"/>
            </w:tcBorders>
            <w:shd w:val="clear" w:color="000000" w:fill="FFFFFF"/>
            <w:vAlign w:val="center"/>
            <w:hideMark/>
          </w:tcPr>
          <w:p w14:paraId="0B0F2A5E" w14:textId="77777777" w:rsidR="005D1E34" w:rsidRPr="005D1E34" w:rsidRDefault="005D1E34" w:rsidP="003F418B">
            <w:pPr>
              <w:spacing w:after="0"/>
              <w:jc w:val="center"/>
              <w:rPr>
                <w:rFonts w:eastAsia="Times New Roman"/>
                <w:color w:val="000000"/>
                <w:sz w:val="20"/>
                <w:lang w:eastAsia="en-GB"/>
              </w:rPr>
            </w:pPr>
            <w:r w:rsidRPr="005D1E34">
              <w:rPr>
                <w:color w:val="000000"/>
                <w:sz w:val="20"/>
              </w:rPr>
              <w:t>76,500</w:t>
            </w:r>
          </w:p>
        </w:tc>
      </w:tr>
    </w:tbl>
    <w:p w14:paraId="24356F95" w14:textId="77777777" w:rsidR="005D1E34" w:rsidRPr="00411BA1" w:rsidRDefault="005D1E34" w:rsidP="005D1E34">
      <w:pPr>
        <w:spacing w:after="120" w:line="278" w:lineRule="auto"/>
        <w:jc w:val="right"/>
        <w:rPr>
          <w:szCs w:val="4"/>
        </w:rPr>
      </w:pPr>
      <w:r w:rsidRPr="00411BA1">
        <w:rPr>
          <w:color w:val="6D6E71" w:themeColor="accent3"/>
          <w:sz w:val="18"/>
          <w:szCs w:val="16"/>
        </w:rPr>
        <w:t>Source: Various, Cebr analysis</w:t>
      </w:r>
    </w:p>
    <w:p w14:paraId="09BBD3DE" w14:textId="55CDA1BA" w:rsidR="000D1810" w:rsidRPr="005D1E34" w:rsidRDefault="005D1E34" w:rsidP="007247D2">
      <w:pPr>
        <w:spacing w:after="120" w:line="278" w:lineRule="auto"/>
        <w:jc w:val="both"/>
        <w:rPr>
          <w:szCs w:val="4"/>
        </w:rPr>
      </w:pPr>
      <w:r w:rsidRPr="00411BA1">
        <w:rPr>
          <w:szCs w:val="4"/>
        </w:rPr>
        <w:t xml:space="preserve">Under the base scenario, just under </w:t>
      </w:r>
      <w:r>
        <w:rPr>
          <w:szCs w:val="4"/>
        </w:rPr>
        <w:t>27,400</w:t>
      </w:r>
      <w:r w:rsidRPr="00411BA1">
        <w:rPr>
          <w:szCs w:val="4"/>
        </w:rPr>
        <w:t xml:space="preserve"> workers, of which roughly </w:t>
      </w:r>
      <w:r>
        <w:rPr>
          <w:szCs w:val="4"/>
        </w:rPr>
        <w:t>13,300</w:t>
      </w:r>
      <w:r w:rsidRPr="00411BA1">
        <w:rPr>
          <w:szCs w:val="4"/>
        </w:rPr>
        <w:t xml:space="preserve"> are directly involved in retrofit installation, are required across ORP 3.4 (2025/26) to ensure home retrofitting continues at the appropriate pace to meet Wales’ decarbonisation goals. This total is then expected to grow to approximately </w:t>
      </w:r>
      <w:r>
        <w:rPr>
          <w:szCs w:val="4"/>
        </w:rPr>
        <w:t>76,5</w:t>
      </w:r>
      <w:r w:rsidRPr="00411BA1">
        <w:rPr>
          <w:szCs w:val="4"/>
        </w:rPr>
        <w:t xml:space="preserve">00 by 2035. These figures can be analysed in the context of the labour supply estimates from </w:t>
      </w:r>
      <w:r w:rsidR="00236ADA">
        <w:rPr>
          <w:szCs w:val="4"/>
        </w:rPr>
        <w:t xml:space="preserve">Table </w:t>
      </w:r>
      <w:r w:rsidR="00167C62">
        <w:rPr>
          <w:szCs w:val="4"/>
        </w:rPr>
        <w:t>9</w:t>
      </w:r>
      <w:r w:rsidR="00236ADA">
        <w:rPr>
          <w:szCs w:val="4"/>
        </w:rPr>
        <w:t xml:space="preserve"> in </w:t>
      </w:r>
      <w:r w:rsidRPr="00411BA1">
        <w:rPr>
          <w:szCs w:val="4"/>
        </w:rPr>
        <w:t>Section 3</w:t>
      </w:r>
      <w:r w:rsidR="00236ADA">
        <w:rPr>
          <w:szCs w:val="4"/>
        </w:rPr>
        <w:t xml:space="preserve"> (page </w:t>
      </w:r>
      <w:r w:rsidR="00C52F7D">
        <w:rPr>
          <w:szCs w:val="4"/>
        </w:rPr>
        <w:t>32</w:t>
      </w:r>
      <w:r w:rsidR="00236ADA">
        <w:rPr>
          <w:szCs w:val="4"/>
        </w:rPr>
        <w:t>)</w:t>
      </w:r>
      <w:r w:rsidRPr="00411BA1">
        <w:rPr>
          <w:szCs w:val="4"/>
        </w:rPr>
        <w:t xml:space="preserve"> to generate an estimate for the workforce gap – the number of workers that would be required to ensure the expected progression of home retrofit in Wales and are not covered by the projected labour supply.</w:t>
      </w:r>
      <w:r>
        <w:rPr>
          <w:szCs w:val="4"/>
        </w:rPr>
        <w:t xml:space="preserve"> </w:t>
      </w:r>
      <w:bookmarkEnd w:id="23"/>
    </w:p>
    <w:p w14:paraId="70E5EB81" w14:textId="6CCD8C2C" w:rsidR="00B97591" w:rsidRDefault="000D37D8" w:rsidP="00DD6114">
      <w:pPr>
        <w:pStyle w:val="Heading1"/>
        <w:numPr>
          <w:ilvl w:val="0"/>
          <w:numId w:val="9"/>
        </w:numPr>
        <w:spacing w:before="240" w:after="120" w:line="278" w:lineRule="auto"/>
        <w:ind w:right="-4913"/>
        <w:rPr>
          <w:rFonts w:ascii="Helvetica Neue LT Std 65 Medium" w:hAnsi="Helvetica Neue LT Std 65 Medium"/>
          <w:bCs/>
          <w:szCs w:val="44"/>
        </w:rPr>
      </w:pPr>
      <w:bookmarkStart w:id="24" w:name="_Toc221182659"/>
      <w:r w:rsidRPr="007247D2">
        <w:rPr>
          <w:rFonts w:ascii="Helvetica Neue LT Std 65 Medium" w:hAnsi="Helvetica Neue LT Std 65 Medium"/>
          <w:bCs/>
          <w:szCs w:val="44"/>
        </w:rPr>
        <w:lastRenderedPageBreak/>
        <w:t xml:space="preserve">Labour </w:t>
      </w:r>
      <w:r w:rsidR="000352D4">
        <w:rPr>
          <w:rFonts w:ascii="Helvetica Neue LT Std 65 Medium" w:hAnsi="Helvetica Neue LT Std 65 Medium"/>
          <w:bCs/>
          <w:szCs w:val="44"/>
        </w:rPr>
        <w:t>s</w:t>
      </w:r>
      <w:r w:rsidRPr="007247D2">
        <w:rPr>
          <w:rFonts w:ascii="Helvetica Neue LT Std 65 Medium" w:hAnsi="Helvetica Neue LT Std 65 Medium"/>
          <w:bCs/>
          <w:szCs w:val="44"/>
        </w:rPr>
        <w:t>upply</w:t>
      </w:r>
      <w:bookmarkEnd w:id="24"/>
    </w:p>
    <w:p w14:paraId="1DB091ED" w14:textId="77777777" w:rsidR="00CD3525" w:rsidRDefault="00CD3525" w:rsidP="00CD3525">
      <w:pPr>
        <w:pStyle w:val="Heading2"/>
        <w:spacing w:line="278" w:lineRule="auto"/>
      </w:pPr>
      <w:bookmarkStart w:id="25" w:name="_Toc221182660"/>
      <w:r>
        <w:t>Unified labour supply model</w:t>
      </w:r>
      <w:bookmarkEnd w:id="25"/>
    </w:p>
    <w:p w14:paraId="64CA0822" w14:textId="61346C15" w:rsidR="006B00D3" w:rsidRDefault="006B00D3" w:rsidP="00CD3525">
      <w:pPr>
        <w:spacing w:after="120" w:line="278" w:lineRule="auto"/>
        <w:jc w:val="both"/>
        <w:rPr>
          <w:color w:val="404040" w:themeColor="text1" w:themeTint="BF"/>
        </w:rPr>
      </w:pPr>
      <w:r w:rsidRPr="006B00D3">
        <w:rPr>
          <w:color w:val="404040" w:themeColor="text1" w:themeTint="BF"/>
        </w:rPr>
        <w:t xml:space="preserve">This section brings together the full set of labour supply components described </w:t>
      </w:r>
      <w:r>
        <w:rPr>
          <w:color w:val="404040" w:themeColor="text1" w:themeTint="BF"/>
        </w:rPr>
        <w:t>in the methodology of</w:t>
      </w:r>
      <w:r w:rsidRPr="006B00D3">
        <w:rPr>
          <w:color w:val="404040" w:themeColor="text1" w:themeTint="BF"/>
        </w:rPr>
        <w:t xml:space="preserve"> the report into a single, integrated modelling framework. The unified labour supply model combines replacement demand, apprenticeship inflows, cross-border out-commuting, and the potential for redeployment from adjacent occupations to generate a coherent projection of the retrofit-relevant workforce in Wales over time. The framework is explicitly scenario-based, allowing each channel to be flexed independently to test how alternative policy choices and labour-market conditions affect available supply.</w:t>
      </w:r>
    </w:p>
    <w:p w14:paraId="7E34C4EC" w14:textId="68532A55" w:rsidR="00CD3525" w:rsidRPr="00B45EC8" w:rsidRDefault="006B00D3" w:rsidP="00CD3525">
      <w:pPr>
        <w:spacing w:after="120" w:line="278" w:lineRule="auto"/>
        <w:jc w:val="both"/>
        <w:rPr>
          <w:color w:val="404040" w:themeColor="text1" w:themeTint="BF"/>
        </w:rPr>
      </w:pPr>
      <w:r w:rsidRPr="006B00D3">
        <w:rPr>
          <w:color w:val="404040" w:themeColor="text1" w:themeTint="BF"/>
        </w:rPr>
        <w:t>At its core, the model establishes a baseline supply trajectory by applying occupation-specific replacement demand rates to the existing stock of workers in retrofit-relevant roles. This baseline captures workforce attrition arising from retirements and other exits. The trajectory is then adjusted under alternative scenarios through changes to three key mechanisms:</w:t>
      </w:r>
      <w:r w:rsidR="00CD3525" w:rsidRPr="00B45EC8">
        <w:rPr>
          <w:color w:val="404040" w:themeColor="text1" w:themeTint="BF"/>
        </w:rPr>
        <w:t xml:space="preserve"> </w:t>
      </w:r>
    </w:p>
    <w:p w14:paraId="49739A67" w14:textId="77777777" w:rsidR="00CD3525" w:rsidRPr="00B45EC8" w:rsidRDefault="00CD3525" w:rsidP="00CD3525">
      <w:pPr>
        <w:pStyle w:val="ListParagraph"/>
        <w:numPr>
          <w:ilvl w:val="0"/>
          <w:numId w:val="34"/>
        </w:numPr>
        <w:spacing w:after="120" w:line="278" w:lineRule="auto"/>
        <w:jc w:val="both"/>
        <w:rPr>
          <w:color w:val="404040" w:themeColor="text1" w:themeTint="BF"/>
        </w:rPr>
      </w:pPr>
      <w:r w:rsidRPr="00B45EC8">
        <w:rPr>
          <w:color w:val="404040" w:themeColor="text1" w:themeTint="BF"/>
        </w:rPr>
        <w:t>apprenticeship funding and resulting inflows;</w:t>
      </w:r>
    </w:p>
    <w:p w14:paraId="72F7473E" w14:textId="77777777" w:rsidR="00CD3525" w:rsidRPr="00B45EC8" w:rsidRDefault="00CD3525" w:rsidP="00CD3525">
      <w:pPr>
        <w:pStyle w:val="ListParagraph"/>
        <w:numPr>
          <w:ilvl w:val="0"/>
          <w:numId w:val="34"/>
        </w:numPr>
        <w:spacing w:after="120" w:line="278" w:lineRule="auto"/>
        <w:jc w:val="both"/>
        <w:rPr>
          <w:color w:val="404040" w:themeColor="text1" w:themeTint="BF"/>
        </w:rPr>
      </w:pPr>
      <w:r w:rsidRPr="00B45EC8">
        <w:rPr>
          <w:color w:val="404040" w:themeColor="text1" w:themeTint="BF"/>
        </w:rPr>
        <w:t>assumptions on redeployment potential from adjacent roles; and</w:t>
      </w:r>
    </w:p>
    <w:p w14:paraId="13750FF6" w14:textId="77777777" w:rsidR="00CD3525" w:rsidRPr="00B45EC8" w:rsidRDefault="00CD3525" w:rsidP="00CD3525">
      <w:pPr>
        <w:pStyle w:val="ListParagraph"/>
        <w:numPr>
          <w:ilvl w:val="0"/>
          <w:numId w:val="34"/>
        </w:numPr>
        <w:spacing w:after="120" w:line="278" w:lineRule="auto"/>
        <w:jc w:val="both"/>
        <w:rPr>
          <w:color w:val="404040" w:themeColor="text1" w:themeTint="BF"/>
        </w:rPr>
      </w:pPr>
      <w:r w:rsidRPr="00B45EC8">
        <w:rPr>
          <w:color w:val="404040" w:themeColor="text1" w:themeTint="BF"/>
        </w:rPr>
        <w:t>the persistence or evolution of cross-border out-commuting to England.</w:t>
      </w:r>
    </w:p>
    <w:p w14:paraId="0CF1FC5B" w14:textId="09B2AAFC" w:rsidR="00CD3525" w:rsidRPr="00B45EC8" w:rsidRDefault="00CD3525" w:rsidP="00CD3525">
      <w:pPr>
        <w:spacing w:after="120" w:line="278" w:lineRule="auto"/>
        <w:jc w:val="both"/>
        <w:rPr>
          <w:color w:val="404040" w:themeColor="text1" w:themeTint="BF"/>
        </w:rPr>
      </w:pPr>
      <w:r w:rsidRPr="00B45EC8">
        <w:rPr>
          <w:color w:val="404040" w:themeColor="text1" w:themeTint="BF"/>
        </w:rPr>
        <w:t xml:space="preserve">To illustrate how the framework operates, Table </w:t>
      </w:r>
      <w:r w:rsidR="00167C62">
        <w:rPr>
          <w:color w:val="404040" w:themeColor="text1" w:themeTint="BF"/>
        </w:rPr>
        <w:t>9</w:t>
      </w:r>
      <w:r w:rsidRPr="00B45EC8">
        <w:rPr>
          <w:color w:val="404040" w:themeColor="text1" w:themeTint="BF"/>
        </w:rPr>
        <w:t xml:space="preserve"> presents labour supply projections under a reference scenario that assumes:</w:t>
      </w:r>
    </w:p>
    <w:p w14:paraId="6B72C568" w14:textId="7DE42F5E" w:rsidR="006B00D3" w:rsidRPr="006B00D3" w:rsidRDefault="006B00D3" w:rsidP="006B00D3">
      <w:pPr>
        <w:pStyle w:val="ListParagraph"/>
        <w:numPr>
          <w:ilvl w:val="0"/>
          <w:numId w:val="35"/>
        </w:numPr>
        <w:spacing w:after="120" w:line="278" w:lineRule="auto"/>
        <w:jc w:val="both"/>
        <w:rPr>
          <w:color w:val="404040" w:themeColor="text1" w:themeTint="BF"/>
        </w:rPr>
      </w:pPr>
      <w:r w:rsidRPr="00B45EC8">
        <w:rPr>
          <w:color w:val="404040" w:themeColor="text1" w:themeTint="BF"/>
        </w:rPr>
        <w:t xml:space="preserve">Apprenticeship funding growing </w:t>
      </w:r>
      <w:r w:rsidRPr="003F6411">
        <w:rPr>
          <w:b/>
          <w:bCs/>
          <w:color w:val="404040" w:themeColor="text1" w:themeTint="BF"/>
        </w:rPr>
        <w:t>at 2% per annum in nominal terms beyond 2026/27</w:t>
      </w:r>
      <w:r w:rsidRPr="00B45EC8">
        <w:rPr>
          <w:color w:val="404040" w:themeColor="text1" w:themeTint="BF"/>
        </w:rPr>
        <w:t>;</w:t>
      </w:r>
    </w:p>
    <w:p w14:paraId="3A6AD413" w14:textId="65C28CE7" w:rsidR="00CD3525" w:rsidRPr="00B45EC8" w:rsidRDefault="00CD3525" w:rsidP="00CD3525">
      <w:pPr>
        <w:pStyle w:val="ListParagraph"/>
        <w:numPr>
          <w:ilvl w:val="0"/>
          <w:numId w:val="35"/>
        </w:numPr>
        <w:spacing w:after="120" w:line="278" w:lineRule="auto"/>
        <w:jc w:val="both"/>
        <w:rPr>
          <w:color w:val="404040" w:themeColor="text1" w:themeTint="BF"/>
        </w:rPr>
      </w:pPr>
      <w:r w:rsidRPr="003F6411">
        <w:rPr>
          <w:b/>
          <w:bCs/>
          <w:color w:val="404040" w:themeColor="text1" w:themeTint="BF"/>
        </w:rPr>
        <w:t>No redeployment</w:t>
      </w:r>
      <w:r w:rsidRPr="00B45EC8">
        <w:rPr>
          <w:color w:val="404040" w:themeColor="text1" w:themeTint="BF"/>
        </w:rPr>
        <w:t xml:space="preserve"> contribution from adjacent occupations;</w:t>
      </w:r>
      <w:r w:rsidR="006B00D3">
        <w:rPr>
          <w:color w:val="404040" w:themeColor="text1" w:themeTint="BF"/>
        </w:rPr>
        <w:t xml:space="preserve"> and</w:t>
      </w:r>
    </w:p>
    <w:p w14:paraId="2B20BA8B" w14:textId="77777777" w:rsidR="00CD3525" w:rsidRPr="002F2747" w:rsidRDefault="00CD3525" w:rsidP="00CD3525">
      <w:pPr>
        <w:pStyle w:val="ListParagraph"/>
        <w:numPr>
          <w:ilvl w:val="0"/>
          <w:numId w:val="35"/>
        </w:numPr>
        <w:spacing w:after="120" w:line="278" w:lineRule="auto"/>
        <w:jc w:val="both"/>
        <w:rPr>
          <w:color w:val="595959" w:themeColor="text1" w:themeTint="A6"/>
        </w:rPr>
      </w:pPr>
      <w:r w:rsidRPr="00B45EC8">
        <w:rPr>
          <w:color w:val="404040" w:themeColor="text1" w:themeTint="BF"/>
        </w:rPr>
        <w:t xml:space="preserve">Continuation of </w:t>
      </w:r>
      <w:r w:rsidRPr="003F6411">
        <w:rPr>
          <w:b/>
          <w:bCs/>
          <w:color w:val="404040" w:themeColor="text1" w:themeTint="BF"/>
        </w:rPr>
        <w:t>historic trends in out-commuting</w:t>
      </w:r>
      <w:r w:rsidRPr="00B45EC8">
        <w:rPr>
          <w:color w:val="404040" w:themeColor="text1" w:themeTint="BF"/>
        </w:rPr>
        <w:t xml:space="preserve"> to England</w:t>
      </w:r>
      <w:r>
        <w:rPr>
          <w:color w:val="404040" w:themeColor="text1" w:themeTint="BF"/>
        </w:rPr>
        <w:t xml:space="preserve"> for work</w:t>
      </w:r>
      <w:r w:rsidRPr="002F2747">
        <w:rPr>
          <w:color w:val="595959" w:themeColor="text1" w:themeTint="A6"/>
        </w:rPr>
        <w:t>.</w:t>
      </w:r>
    </w:p>
    <w:p w14:paraId="21A13925" w14:textId="121E1B74" w:rsidR="00CD3525" w:rsidRPr="00CC3565" w:rsidRDefault="00CD3525" w:rsidP="00CD3525">
      <w:pPr>
        <w:pStyle w:val="Caption"/>
      </w:pPr>
      <w:r w:rsidRPr="002F2747">
        <w:rPr>
          <w:color w:val="6D6E71" w:themeColor="accent3"/>
          <w:sz w:val="18"/>
        </w:rPr>
        <w:t xml:space="preserve">Table </w:t>
      </w:r>
      <w:r w:rsidRPr="002F2747">
        <w:rPr>
          <w:color w:val="6D6E71" w:themeColor="accent3"/>
          <w:sz w:val="18"/>
        </w:rPr>
        <w:fldChar w:fldCharType="begin"/>
      </w:r>
      <w:r w:rsidRPr="002F2747">
        <w:rPr>
          <w:color w:val="6D6E71" w:themeColor="accent3"/>
          <w:sz w:val="18"/>
        </w:rPr>
        <w:instrText xml:space="preserve"> SEQ Table \* ARABIC </w:instrText>
      </w:r>
      <w:r w:rsidRPr="002F2747">
        <w:rPr>
          <w:color w:val="6D6E71" w:themeColor="accent3"/>
          <w:sz w:val="18"/>
        </w:rPr>
        <w:fldChar w:fldCharType="separate"/>
      </w:r>
      <w:r w:rsidR="004775B5">
        <w:rPr>
          <w:noProof/>
          <w:color w:val="6D6E71" w:themeColor="accent3"/>
          <w:sz w:val="18"/>
        </w:rPr>
        <w:t>9</w:t>
      </w:r>
      <w:r w:rsidRPr="002F2747">
        <w:rPr>
          <w:color w:val="6D6E71" w:themeColor="accent3"/>
          <w:sz w:val="18"/>
        </w:rPr>
        <w:fldChar w:fldCharType="end"/>
      </w:r>
      <w:r w:rsidRPr="002F2747">
        <w:rPr>
          <w:color w:val="6D6E71" w:themeColor="accent3"/>
          <w:sz w:val="18"/>
        </w:rPr>
        <w:t>:</w:t>
      </w:r>
      <w:r>
        <w:t xml:space="preserve"> </w:t>
      </w:r>
      <w:r>
        <w:rPr>
          <w:color w:val="6D6E71" w:themeColor="accent3"/>
          <w:sz w:val="18"/>
        </w:rPr>
        <w:t xml:space="preserve">Labour supply forecasts for core retrofit roles, by financial year </w:t>
      </w:r>
      <w:r w:rsidRPr="00B976CE">
        <w:rPr>
          <w:color w:val="6D6E71" w:themeColor="accent3"/>
          <w:sz w:val="18"/>
        </w:rPr>
        <w:t>(rounded to nearest 100s</w:t>
      </w:r>
      <w:r>
        <w:rPr>
          <w:color w:val="6D6E71" w:themeColor="accent3"/>
          <w:sz w:val="18"/>
        </w:rPr>
        <w:t xml:space="preserve"> – totals may differ due to rounding)</w:t>
      </w:r>
    </w:p>
    <w:tbl>
      <w:tblPr>
        <w:tblW w:w="7088" w:type="dxa"/>
        <w:jc w:val="center"/>
        <w:tblLayout w:type="fixed"/>
        <w:tblLook w:val="04A0" w:firstRow="1" w:lastRow="0" w:firstColumn="1" w:lastColumn="0" w:noHBand="0" w:noVBand="1"/>
        <w:tblCaption w:val="Table 9: Labour supply forecasts for core retrofit roles, by financial year (rounded to nearest 100s – totals may differ due to rounding)"/>
        <w:tblDescription w:val="Table showing projected labour supply for core retrofit roles in Wales under the base scenario, broken down by direct, support, and supervisory roles, from 2025/26 to 2034/35."/>
      </w:tblPr>
      <w:tblGrid>
        <w:gridCol w:w="1417"/>
        <w:gridCol w:w="1418"/>
        <w:gridCol w:w="1417"/>
        <w:gridCol w:w="1418"/>
        <w:gridCol w:w="1418"/>
      </w:tblGrid>
      <w:tr w:rsidR="00CD3525" w:rsidRPr="00260922" w14:paraId="45BE21D1" w14:textId="77777777" w:rsidTr="003F418B">
        <w:trPr>
          <w:trHeight w:val="563"/>
          <w:jc w:val="center"/>
        </w:trPr>
        <w:tc>
          <w:tcPr>
            <w:tcW w:w="1417" w:type="dxa"/>
            <w:tcBorders>
              <w:top w:val="nil"/>
              <w:left w:val="nil"/>
              <w:bottom w:val="nil"/>
              <w:right w:val="nil"/>
            </w:tcBorders>
            <w:noWrap/>
            <w:vAlign w:val="bottom"/>
            <w:hideMark/>
          </w:tcPr>
          <w:p w14:paraId="411A0154" w14:textId="77777777" w:rsidR="00CD3525" w:rsidRPr="00260922" w:rsidRDefault="00CD3525" w:rsidP="003F418B">
            <w:pPr>
              <w:spacing w:after="0"/>
              <w:rPr>
                <w:rFonts w:eastAsia="Times New Roman"/>
                <w:color w:val="auto"/>
                <w:sz w:val="20"/>
                <w:lang w:eastAsia="en-GB"/>
              </w:rPr>
            </w:pPr>
          </w:p>
        </w:tc>
        <w:tc>
          <w:tcPr>
            <w:tcW w:w="1418" w:type="dxa"/>
            <w:tcBorders>
              <w:top w:val="single" w:sz="8" w:space="0" w:color="auto"/>
              <w:left w:val="single" w:sz="8" w:space="0" w:color="auto"/>
              <w:bottom w:val="single" w:sz="4" w:space="0" w:color="auto"/>
              <w:right w:val="single" w:sz="4" w:space="0" w:color="auto"/>
            </w:tcBorders>
            <w:shd w:val="clear" w:color="000000" w:fill="00464D"/>
            <w:vAlign w:val="center"/>
            <w:hideMark/>
          </w:tcPr>
          <w:p w14:paraId="1DB1D8E5" w14:textId="77777777" w:rsidR="00CD3525" w:rsidRPr="00260922" w:rsidRDefault="00CD3525" w:rsidP="003F418B">
            <w:pPr>
              <w:spacing w:after="0"/>
              <w:jc w:val="center"/>
              <w:rPr>
                <w:rFonts w:eastAsia="Times New Roman" w:cs="Calibri"/>
                <w:b/>
                <w:bCs/>
                <w:color w:val="FFFFFF"/>
                <w:sz w:val="20"/>
                <w:lang w:eastAsia="en-GB"/>
              </w:rPr>
            </w:pPr>
            <w:r w:rsidRPr="00260922">
              <w:rPr>
                <w:rFonts w:eastAsia="Times New Roman" w:cs="Calibri"/>
                <w:b/>
                <w:bCs/>
                <w:color w:val="FFFFFF"/>
                <w:sz w:val="20"/>
                <w:lang w:eastAsia="en-GB"/>
              </w:rPr>
              <w:t>Direct</w:t>
            </w:r>
          </w:p>
        </w:tc>
        <w:tc>
          <w:tcPr>
            <w:tcW w:w="1417" w:type="dxa"/>
            <w:tcBorders>
              <w:top w:val="single" w:sz="8" w:space="0" w:color="auto"/>
              <w:left w:val="nil"/>
              <w:bottom w:val="single" w:sz="4" w:space="0" w:color="auto"/>
              <w:right w:val="single" w:sz="4" w:space="0" w:color="auto"/>
            </w:tcBorders>
            <w:shd w:val="clear" w:color="000000" w:fill="00464D"/>
            <w:vAlign w:val="center"/>
            <w:hideMark/>
          </w:tcPr>
          <w:p w14:paraId="4ADA99D0" w14:textId="77777777" w:rsidR="00CD3525" w:rsidRPr="00260922" w:rsidRDefault="00CD3525" w:rsidP="003F418B">
            <w:pPr>
              <w:spacing w:after="0"/>
              <w:jc w:val="center"/>
              <w:rPr>
                <w:rFonts w:eastAsia="Times New Roman" w:cs="Calibri"/>
                <w:b/>
                <w:bCs/>
                <w:color w:val="FFFFFF"/>
                <w:sz w:val="20"/>
                <w:lang w:eastAsia="en-GB"/>
              </w:rPr>
            </w:pPr>
            <w:r w:rsidRPr="00260922">
              <w:rPr>
                <w:rFonts w:eastAsia="Times New Roman" w:cs="Calibri"/>
                <w:b/>
                <w:bCs/>
                <w:color w:val="FFFFFF"/>
                <w:sz w:val="20"/>
                <w:lang w:eastAsia="en-GB"/>
              </w:rPr>
              <w:t>Support</w:t>
            </w:r>
          </w:p>
        </w:tc>
        <w:tc>
          <w:tcPr>
            <w:tcW w:w="1418" w:type="dxa"/>
            <w:tcBorders>
              <w:top w:val="single" w:sz="8" w:space="0" w:color="auto"/>
              <w:left w:val="nil"/>
              <w:bottom w:val="single" w:sz="4" w:space="0" w:color="auto"/>
              <w:right w:val="single" w:sz="4" w:space="0" w:color="auto"/>
            </w:tcBorders>
            <w:shd w:val="clear" w:color="000000" w:fill="00464D"/>
            <w:vAlign w:val="center"/>
            <w:hideMark/>
          </w:tcPr>
          <w:p w14:paraId="3F4BAB7C" w14:textId="77777777" w:rsidR="00CD3525" w:rsidRPr="00260922" w:rsidRDefault="00CD3525" w:rsidP="003F418B">
            <w:pPr>
              <w:spacing w:after="0"/>
              <w:jc w:val="center"/>
              <w:rPr>
                <w:rFonts w:eastAsia="Times New Roman" w:cs="Calibri"/>
                <w:b/>
                <w:bCs/>
                <w:color w:val="FFFFFF"/>
                <w:sz w:val="20"/>
                <w:lang w:eastAsia="en-GB"/>
              </w:rPr>
            </w:pPr>
            <w:r w:rsidRPr="00260922">
              <w:rPr>
                <w:rFonts w:eastAsia="Times New Roman" w:cs="Calibri"/>
                <w:b/>
                <w:bCs/>
                <w:color w:val="FFFFFF"/>
                <w:sz w:val="20"/>
                <w:lang w:eastAsia="en-GB"/>
              </w:rPr>
              <w:t>Supervisory</w:t>
            </w:r>
          </w:p>
        </w:tc>
        <w:tc>
          <w:tcPr>
            <w:tcW w:w="1418" w:type="dxa"/>
            <w:tcBorders>
              <w:top w:val="single" w:sz="8" w:space="0" w:color="auto"/>
              <w:left w:val="nil"/>
              <w:bottom w:val="single" w:sz="4" w:space="0" w:color="auto"/>
              <w:right w:val="single" w:sz="8" w:space="0" w:color="auto"/>
            </w:tcBorders>
            <w:shd w:val="clear" w:color="000000" w:fill="00464D"/>
            <w:vAlign w:val="center"/>
            <w:hideMark/>
          </w:tcPr>
          <w:p w14:paraId="54FE959A" w14:textId="77777777" w:rsidR="00CD3525" w:rsidRPr="00260922" w:rsidRDefault="00CD3525" w:rsidP="003F418B">
            <w:pPr>
              <w:spacing w:after="0"/>
              <w:jc w:val="center"/>
              <w:rPr>
                <w:rFonts w:eastAsia="Times New Roman" w:cs="Calibri"/>
                <w:b/>
                <w:bCs/>
                <w:color w:val="FFFFFF"/>
                <w:sz w:val="20"/>
                <w:lang w:eastAsia="en-GB"/>
              </w:rPr>
            </w:pPr>
            <w:r w:rsidRPr="00260922">
              <w:rPr>
                <w:rFonts w:eastAsia="Times New Roman" w:cs="Calibri"/>
                <w:b/>
                <w:bCs/>
                <w:color w:val="FFFFFF"/>
                <w:sz w:val="20"/>
                <w:lang w:eastAsia="en-GB"/>
              </w:rPr>
              <w:t>Total</w:t>
            </w:r>
          </w:p>
        </w:tc>
      </w:tr>
      <w:tr w:rsidR="00CD3525" w:rsidRPr="00260922" w14:paraId="6069711B" w14:textId="77777777" w:rsidTr="00CD3525">
        <w:trPr>
          <w:trHeight w:val="563"/>
          <w:jc w:val="center"/>
        </w:trPr>
        <w:tc>
          <w:tcPr>
            <w:tcW w:w="1417" w:type="dxa"/>
            <w:tcBorders>
              <w:top w:val="single" w:sz="8" w:space="0" w:color="auto"/>
              <w:left w:val="single" w:sz="8" w:space="0" w:color="auto"/>
              <w:bottom w:val="single" w:sz="8" w:space="0" w:color="auto"/>
              <w:right w:val="single" w:sz="4" w:space="0" w:color="auto"/>
            </w:tcBorders>
            <w:shd w:val="clear" w:color="000000" w:fill="00464D"/>
            <w:vAlign w:val="center"/>
            <w:hideMark/>
          </w:tcPr>
          <w:p w14:paraId="2A2425D8" w14:textId="77777777" w:rsidR="00CD3525" w:rsidRPr="00260922" w:rsidRDefault="00CD3525"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2025/26</w:t>
            </w:r>
          </w:p>
        </w:tc>
        <w:tc>
          <w:tcPr>
            <w:tcW w:w="1418" w:type="dxa"/>
            <w:tcBorders>
              <w:top w:val="single" w:sz="4" w:space="0" w:color="auto"/>
              <w:left w:val="nil"/>
              <w:bottom w:val="single" w:sz="4" w:space="0" w:color="auto"/>
              <w:right w:val="single" w:sz="4" w:space="0" w:color="auto"/>
            </w:tcBorders>
            <w:vAlign w:val="center"/>
            <w:hideMark/>
          </w:tcPr>
          <w:p w14:paraId="47CC9DEB" w14:textId="633705F8" w:rsidR="00CD3525" w:rsidRPr="002F2747" w:rsidRDefault="00CD3525" w:rsidP="003F418B">
            <w:pPr>
              <w:spacing w:after="0"/>
              <w:jc w:val="center"/>
              <w:rPr>
                <w:rFonts w:eastAsia="Times New Roman"/>
                <w:color w:val="000000" w:themeColor="text1"/>
                <w:sz w:val="20"/>
                <w:lang w:eastAsia="en-GB"/>
              </w:rPr>
            </w:pPr>
            <w:r w:rsidRPr="002F2747">
              <w:rPr>
                <w:color w:val="000000"/>
                <w:sz w:val="20"/>
              </w:rPr>
              <w:t>11,</w:t>
            </w:r>
            <w:r>
              <w:rPr>
                <w:color w:val="000000"/>
                <w:sz w:val="20"/>
              </w:rPr>
              <w:t>8</w:t>
            </w:r>
            <w:r w:rsidRPr="002F2747">
              <w:rPr>
                <w:color w:val="000000"/>
                <w:sz w:val="20"/>
              </w:rPr>
              <w:t>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FD32108" w14:textId="2AEACCE4" w:rsidR="00CD3525" w:rsidRPr="002F2747" w:rsidRDefault="00CD3525" w:rsidP="003F418B">
            <w:pPr>
              <w:spacing w:after="0"/>
              <w:jc w:val="center"/>
              <w:rPr>
                <w:rFonts w:eastAsia="Times New Roman"/>
                <w:color w:val="000000" w:themeColor="text1"/>
                <w:sz w:val="20"/>
                <w:lang w:eastAsia="en-GB"/>
              </w:rPr>
            </w:pPr>
            <w:r w:rsidRPr="002F2747">
              <w:rPr>
                <w:color w:val="000000"/>
                <w:sz w:val="20"/>
              </w:rPr>
              <w:t>9,</w:t>
            </w:r>
            <w:r>
              <w:rPr>
                <w:color w:val="000000"/>
                <w:sz w:val="20"/>
              </w:rPr>
              <w:t>2</w:t>
            </w:r>
            <w:r w:rsidRPr="002F2747">
              <w:rPr>
                <w:color w:val="000000"/>
                <w:sz w:val="20"/>
              </w:rPr>
              <w:t>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1A6EF86" w14:textId="1D8659BE" w:rsidR="00CD3525" w:rsidRPr="002F2747" w:rsidRDefault="00CD3525" w:rsidP="003F418B">
            <w:pPr>
              <w:spacing w:after="0"/>
              <w:jc w:val="center"/>
              <w:rPr>
                <w:rFonts w:eastAsia="Times New Roman"/>
                <w:color w:val="000000" w:themeColor="text1"/>
                <w:sz w:val="20"/>
                <w:lang w:eastAsia="en-GB"/>
              </w:rPr>
            </w:pPr>
            <w:r>
              <w:rPr>
                <w:color w:val="000000"/>
                <w:sz w:val="20"/>
              </w:rPr>
              <w:t>3</w:t>
            </w:r>
            <w:r w:rsidRPr="002F2747">
              <w:rPr>
                <w:color w:val="000000"/>
                <w:sz w:val="20"/>
              </w:rPr>
              <w:t>,</w:t>
            </w:r>
            <w:r>
              <w:rPr>
                <w:color w:val="000000"/>
                <w:sz w:val="20"/>
              </w:rPr>
              <w:t>0</w:t>
            </w:r>
            <w:r w:rsidRPr="002F2747">
              <w:rPr>
                <w:color w:val="000000"/>
                <w:sz w:val="20"/>
              </w:rPr>
              <w:t>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C3FA352" w14:textId="5FB324C9" w:rsidR="00CD3525" w:rsidRPr="002F2747" w:rsidRDefault="00CD3525" w:rsidP="003F418B">
            <w:pPr>
              <w:spacing w:after="0"/>
              <w:jc w:val="center"/>
              <w:rPr>
                <w:rFonts w:eastAsia="Times New Roman"/>
                <w:color w:val="000000" w:themeColor="text1"/>
                <w:sz w:val="20"/>
                <w:lang w:eastAsia="en-GB"/>
              </w:rPr>
            </w:pPr>
            <w:r w:rsidRPr="002F2747">
              <w:rPr>
                <w:color w:val="000000"/>
                <w:sz w:val="20"/>
              </w:rPr>
              <w:t>23,</w:t>
            </w:r>
            <w:r>
              <w:rPr>
                <w:color w:val="000000"/>
                <w:sz w:val="20"/>
              </w:rPr>
              <w:t>9</w:t>
            </w:r>
            <w:r w:rsidRPr="002F2747">
              <w:rPr>
                <w:color w:val="000000"/>
                <w:sz w:val="20"/>
              </w:rPr>
              <w:t>00</w:t>
            </w:r>
          </w:p>
        </w:tc>
      </w:tr>
      <w:tr w:rsidR="00CD3525" w:rsidRPr="00260922" w14:paraId="161C2337"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4824FD70" w14:textId="77777777" w:rsidR="00CD3525" w:rsidRPr="00260922" w:rsidRDefault="00CD3525" w:rsidP="00CD3525">
            <w:pPr>
              <w:spacing w:after="0"/>
              <w:jc w:val="center"/>
              <w:rPr>
                <w:rFonts w:eastAsia="Times New Roman" w:cs="Calibri"/>
                <w:b/>
                <w:bCs/>
                <w:color w:val="FFFFFF"/>
                <w:sz w:val="20"/>
                <w:lang w:eastAsia="en-GB"/>
              </w:rPr>
            </w:pPr>
            <w:r>
              <w:rPr>
                <w:rFonts w:eastAsia="Times New Roman" w:cs="Calibri"/>
                <w:b/>
                <w:bCs/>
                <w:color w:val="FFFFFF"/>
                <w:sz w:val="20"/>
                <w:lang w:eastAsia="en-GB"/>
              </w:rPr>
              <w:t>2026/27</w:t>
            </w:r>
          </w:p>
        </w:tc>
        <w:tc>
          <w:tcPr>
            <w:tcW w:w="1418" w:type="dxa"/>
            <w:tcBorders>
              <w:top w:val="single" w:sz="4" w:space="0" w:color="auto"/>
              <w:left w:val="nil"/>
              <w:bottom w:val="single" w:sz="4" w:space="0" w:color="auto"/>
              <w:right w:val="single" w:sz="4" w:space="0" w:color="auto"/>
            </w:tcBorders>
            <w:vAlign w:val="center"/>
            <w:hideMark/>
          </w:tcPr>
          <w:p w14:paraId="4E1B895A" w14:textId="3062FE96"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11,300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11712F78" w14:textId="48257D64"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9,000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E36C60B" w14:textId="2B58CA0C"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2,900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658575B" w14:textId="62BBF98F"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23,200</w:t>
            </w:r>
          </w:p>
        </w:tc>
      </w:tr>
      <w:tr w:rsidR="00CD3525" w:rsidRPr="00260922" w14:paraId="73B79507"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507FB0B3" w14:textId="77777777" w:rsidR="00CD3525" w:rsidRPr="00260922" w:rsidRDefault="00CD3525" w:rsidP="00CD3525">
            <w:pPr>
              <w:spacing w:after="0"/>
              <w:jc w:val="center"/>
              <w:rPr>
                <w:rFonts w:eastAsia="Times New Roman" w:cs="Calibri"/>
                <w:b/>
                <w:bCs/>
                <w:color w:val="FFFFFF"/>
                <w:sz w:val="20"/>
                <w:lang w:eastAsia="en-GB"/>
              </w:rPr>
            </w:pPr>
            <w:r>
              <w:rPr>
                <w:rFonts w:eastAsia="Times New Roman" w:cs="Calibri"/>
                <w:b/>
                <w:bCs/>
                <w:color w:val="FFFFFF"/>
                <w:sz w:val="20"/>
                <w:lang w:eastAsia="en-GB"/>
              </w:rPr>
              <w:t>2027/28</w:t>
            </w:r>
          </w:p>
        </w:tc>
        <w:tc>
          <w:tcPr>
            <w:tcW w:w="1418" w:type="dxa"/>
            <w:tcBorders>
              <w:top w:val="single" w:sz="4" w:space="0" w:color="auto"/>
              <w:left w:val="nil"/>
              <w:bottom w:val="single" w:sz="4" w:space="0" w:color="auto"/>
              <w:right w:val="single" w:sz="4" w:space="0" w:color="auto"/>
            </w:tcBorders>
            <w:vAlign w:val="center"/>
            <w:hideMark/>
          </w:tcPr>
          <w:p w14:paraId="4DAA93F3" w14:textId="22466F87"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11,000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3FAB1B6" w14:textId="18150A2A"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8,800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3806430" w14:textId="2E19A1E4"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2,800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F9073CE" w14:textId="2EE6FBCD"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22,500</w:t>
            </w:r>
          </w:p>
        </w:tc>
      </w:tr>
      <w:tr w:rsidR="00CD3525" w:rsidRPr="00260922" w14:paraId="4E19B366"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64DD1CA9" w14:textId="77777777" w:rsidR="00CD3525" w:rsidRPr="00260922" w:rsidRDefault="00CD3525" w:rsidP="00CD3525">
            <w:pPr>
              <w:spacing w:after="0"/>
              <w:jc w:val="center"/>
              <w:rPr>
                <w:rFonts w:eastAsia="Times New Roman" w:cs="Calibri"/>
                <w:b/>
                <w:bCs/>
                <w:color w:val="FFFFFF"/>
                <w:sz w:val="20"/>
                <w:lang w:eastAsia="en-GB"/>
              </w:rPr>
            </w:pPr>
            <w:r>
              <w:rPr>
                <w:rFonts w:eastAsia="Times New Roman" w:cs="Calibri"/>
                <w:b/>
                <w:bCs/>
                <w:color w:val="FFFFFF"/>
                <w:sz w:val="20"/>
                <w:lang w:eastAsia="en-GB"/>
              </w:rPr>
              <w:t>2028/29</w:t>
            </w:r>
          </w:p>
        </w:tc>
        <w:tc>
          <w:tcPr>
            <w:tcW w:w="1418" w:type="dxa"/>
            <w:tcBorders>
              <w:top w:val="single" w:sz="4" w:space="0" w:color="auto"/>
              <w:left w:val="nil"/>
              <w:bottom w:val="single" w:sz="4" w:space="0" w:color="auto"/>
              <w:right w:val="single" w:sz="4" w:space="0" w:color="auto"/>
            </w:tcBorders>
            <w:vAlign w:val="center"/>
            <w:hideMark/>
          </w:tcPr>
          <w:p w14:paraId="11A1679F" w14:textId="0DA55561"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10,700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8110BA3" w14:textId="33D8A0DF"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8,600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0F853FE" w14:textId="5D638431"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2,700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1BB00C8" w14:textId="3AFE37BB"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22,000</w:t>
            </w:r>
          </w:p>
        </w:tc>
      </w:tr>
      <w:tr w:rsidR="00CD3525" w:rsidRPr="00260922" w14:paraId="3EFDB070"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4B04397A" w14:textId="77777777" w:rsidR="00CD3525" w:rsidRPr="00260922" w:rsidRDefault="00CD3525" w:rsidP="00CD3525">
            <w:pPr>
              <w:spacing w:after="0"/>
              <w:jc w:val="center"/>
              <w:rPr>
                <w:rFonts w:eastAsia="Times New Roman" w:cs="Calibri"/>
                <w:b/>
                <w:bCs/>
                <w:color w:val="FFFFFF"/>
                <w:sz w:val="20"/>
                <w:lang w:eastAsia="en-GB"/>
              </w:rPr>
            </w:pPr>
            <w:r>
              <w:rPr>
                <w:rFonts w:eastAsia="Times New Roman" w:cs="Calibri"/>
                <w:b/>
                <w:bCs/>
                <w:color w:val="FFFFFF"/>
                <w:sz w:val="20"/>
                <w:lang w:eastAsia="en-GB"/>
              </w:rPr>
              <w:t>2029/30</w:t>
            </w:r>
          </w:p>
        </w:tc>
        <w:tc>
          <w:tcPr>
            <w:tcW w:w="1418" w:type="dxa"/>
            <w:tcBorders>
              <w:top w:val="single" w:sz="4" w:space="0" w:color="auto"/>
              <w:left w:val="nil"/>
              <w:bottom w:val="single" w:sz="4" w:space="0" w:color="auto"/>
              <w:right w:val="single" w:sz="4" w:space="0" w:color="auto"/>
            </w:tcBorders>
            <w:vAlign w:val="center"/>
            <w:hideMark/>
          </w:tcPr>
          <w:p w14:paraId="7C1DECF6" w14:textId="113B07A9"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10,500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3188BEF" w14:textId="7137EBC0"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8,300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FBD1F52" w14:textId="2D5349CA"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2,600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5678248" w14:textId="6683FFD7"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21,500</w:t>
            </w:r>
          </w:p>
        </w:tc>
      </w:tr>
      <w:tr w:rsidR="00CD3525" w:rsidRPr="00260922" w14:paraId="4F32681C"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25669FF1" w14:textId="77777777" w:rsidR="00CD3525" w:rsidRPr="00260922" w:rsidRDefault="00CD3525" w:rsidP="00CD3525">
            <w:pPr>
              <w:spacing w:after="0"/>
              <w:jc w:val="center"/>
              <w:rPr>
                <w:rFonts w:eastAsia="Times New Roman" w:cs="Calibri"/>
                <w:b/>
                <w:bCs/>
                <w:color w:val="FFFFFF"/>
                <w:sz w:val="20"/>
                <w:lang w:eastAsia="en-GB"/>
              </w:rPr>
            </w:pPr>
            <w:r>
              <w:rPr>
                <w:rFonts w:eastAsia="Times New Roman" w:cs="Calibri"/>
                <w:b/>
                <w:bCs/>
                <w:color w:val="FFFFFF"/>
                <w:sz w:val="20"/>
                <w:lang w:eastAsia="en-GB"/>
              </w:rPr>
              <w:t>2030/31</w:t>
            </w:r>
          </w:p>
        </w:tc>
        <w:tc>
          <w:tcPr>
            <w:tcW w:w="1418" w:type="dxa"/>
            <w:tcBorders>
              <w:top w:val="single" w:sz="4" w:space="0" w:color="auto"/>
              <w:left w:val="nil"/>
              <w:bottom w:val="single" w:sz="4" w:space="0" w:color="auto"/>
              <w:right w:val="single" w:sz="4" w:space="0" w:color="auto"/>
            </w:tcBorders>
            <w:vAlign w:val="center"/>
            <w:hideMark/>
          </w:tcPr>
          <w:p w14:paraId="6D129F90" w14:textId="5F5DDE2B"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10,200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E804E4C" w14:textId="1F1DFF0F"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8,100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B48A489" w14:textId="7C1B399C"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2,600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CDCD70A" w14:textId="711F6CD7"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20,900</w:t>
            </w:r>
          </w:p>
        </w:tc>
      </w:tr>
      <w:tr w:rsidR="00CD3525" w:rsidRPr="00260922" w14:paraId="6F26489D"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5BD0CCF7" w14:textId="77777777" w:rsidR="00CD3525" w:rsidRPr="00260922" w:rsidRDefault="00CD3525" w:rsidP="00CD3525">
            <w:pPr>
              <w:spacing w:after="0"/>
              <w:jc w:val="center"/>
              <w:rPr>
                <w:rFonts w:eastAsia="Times New Roman" w:cs="Calibri"/>
                <w:b/>
                <w:bCs/>
                <w:color w:val="FFFFFF"/>
                <w:sz w:val="20"/>
                <w:lang w:eastAsia="en-GB"/>
              </w:rPr>
            </w:pPr>
            <w:r>
              <w:rPr>
                <w:rFonts w:eastAsia="Times New Roman" w:cs="Calibri"/>
                <w:b/>
                <w:bCs/>
                <w:color w:val="FFFFFF"/>
                <w:sz w:val="20"/>
                <w:lang w:eastAsia="en-GB"/>
              </w:rPr>
              <w:t>2031/32</w:t>
            </w:r>
          </w:p>
        </w:tc>
        <w:tc>
          <w:tcPr>
            <w:tcW w:w="1418" w:type="dxa"/>
            <w:tcBorders>
              <w:top w:val="single" w:sz="4" w:space="0" w:color="auto"/>
              <w:left w:val="nil"/>
              <w:bottom w:val="single" w:sz="4" w:space="0" w:color="auto"/>
              <w:right w:val="single" w:sz="4" w:space="0" w:color="auto"/>
            </w:tcBorders>
            <w:vAlign w:val="center"/>
            <w:hideMark/>
          </w:tcPr>
          <w:p w14:paraId="745414EA" w14:textId="48497783"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10,000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58B35881" w14:textId="127B6BB1"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7,900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35744AC" w14:textId="43641DD5"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2,500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5F26554" w14:textId="155E2EBC"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20,400</w:t>
            </w:r>
          </w:p>
        </w:tc>
      </w:tr>
      <w:tr w:rsidR="00CD3525" w:rsidRPr="00260922" w14:paraId="176DA559"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2ABCAE0A" w14:textId="77777777" w:rsidR="00CD3525" w:rsidRPr="00260922" w:rsidRDefault="00CD3525" w:rsidP="00CD3525">
            <w:pPr>
              <w:spacing w:after="0"/>
              <w:jc w:val="center"/>
              <w:rPr>
                <w:rFonts w:eastAsia="Times New Roman" w:cs="Calibri"/>
                <w:b/>
                <w:bCs/>
                <w:color w:val="FFFFFF"/>
                <w:sz w:val="20"/>
                <w:lang w:eastAsia="en-GB"/>
              </w:rPr>
            </w:pPr>
            <w:r>
              <w:rPr>
                <w:rFonts w:eastAsia="Times New Roman" w:cs="Calibri"/>
                <w:b/>
                <w:bCs/>
                <w:color w:val="FFFFFF"/>
                <w:sz w:val="20"/>
                <w:lang w:eastAsia="en-GB"/>
              </w:rPr>
              <w:t>2032/33</w:t>
            </w:r>
          </w:p>
        </w:tc>
        <w:tc>
          <w:tcPr>
            <w:tcW w:w="1418" w:type="dxa"/>
            <w:tcBorders>
              <w:top w:val="single" w:sz="4" w:space="0" w:color="auto"/>
              <w:left w:val="nil"/>
              <w:bottom w:val="single" w:sz="4" w:space="0" w:color="auto"/>
              <w:right w:val="single" w:sz="4" w:space="0" w:color="auto"/>
            </w:tcBorders>
            <w:vAlign w:val="center"/>
            <w:hideMark/>
          </w:tcPr>
          <w:p w14:paraId="236D8AFA" w14:textId="2C6FCE4F"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9,800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C796E64" w14:textId="3AF35204"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7,700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98CB671" w14:textId="0903F386"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2,400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63FC4CC" w14:textId="211AACF6"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19,900</w:t>
            </w:r>
          </w:p>
        </w:tc>
      </w:tr>
      <w:tr w:rsidR="00CD3525" w:rsidRPr="00260922" w14:paraId="6292223F"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646CF5A3" w14:textId="77777777" w:rsidR="00CD3525" w:rsidRPr="00260922" w:rsidRDefault="00CD3525" w:rsidP="00CD3525">
            <w:pPr>
              <w:spacing w:after="0"/>
              <w:jc w:val="center"/>
              <w:rPr>
                <w:rFonts w:eastAsia="Times New Roman" w:cs="Calibri"/>
                <w:b/>
                <w:bCs/>
                <w:color w:val="FFFFFF"/>
                <w:sz w:val="20"/>
                <w:lang w:eastAsia="en-GB"/>
              </w:rPr>
            </w:pPr>
            <w:r>
              <w:rPr>
                <w:rFonts w:eastAsia="Times New Roman" w:cs="Calibri"/>
                <w:b/>
                <w:bCs/>
                <w:color w:val="FFFFFF"/>
                <w:sz w:val="20"/>
                <w:lang w:eastAsia="en-GB"/>
              </w:rPr>
              <w:lastRenderedPageBreak/>
              <w:t>2033/34</w:t>
            </w:r>
          </w:p>
        </w:tc>
        <w:tc>
          <w:tcPr>
            <w:tcW w:w="1418" w:type="dxa"/>
            <w:tcBorders>
              <w:top w:val="single" w:sz="4" w:space="0" w:color="auto"/>
              <w:left w:val="nil"/>
              <w:bottom w:val="single" w:sz="4" w:space="0" w:color="auto"/>
              <w:right w:val="single" w:sz="4" w:space="0" w:color="auto"/>
            </w:tcBorders>
            <w:vAlign w:val="center"/>
            <w:hideMark/>
          </w:tcPr>
          <w:p w14:paraId="431851CB" w14:textId="5D7269FF"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9,500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1706C1F3" w14:textId="4202F159"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7,600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94B3BA6" w14:textId="283D7847"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2,400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63C4E3B" w14:textId="6BC436D2"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19,500</w:t>
            </w:r>
          </w:p>
        </w:tc>
      </w:tr>
      <w:tr w:rsidR="00CD3525" w:rsidRPr="00260922" w14:paraId="168AD5B0" w14:textId="77777777" w:rsidTr="00CD3525">
        <w:trPr>
          <w:trHeight w:val="563"/>
          <w:jc w:val="center"/>
        </w:trPr>
        <w:tc>
          <w:tcPr>
            <w:tcW w:w="1417" w:type="dxa"/>
            <w:tcBorders>
              <w:top w:val="nil"/>
              <w:left w:val="single" w:sz="8" w:space="0" w:color="auto"/>
              <w:bottom w:val="single" w:sz="8" w:space="0" w:color="auto"/>
              <w:right w:val="single" w:sz="4" w:space="0" w:color="auto"/>
            </w:tcBorders>
            <w:shd w:val="clear" w:color="000000" w:fill="00464D"/>
            <w:vAlign w:val="center"/>
            <w:hideMark/>
          </w:tcPr>
          <w:p w14:paraId="1B38AB8C" w14:textId="77777777" w:rsidR="00CD3525" w:rsidRPr="00260922" w:rsidRDefault="00CD3525" w:rsidP="00CD3525">
            <w:pPr>
              <w:spacing w:after="0"/>
              <w:jc w:val="center"/>
              <w:rPr>
                <w:rFonts w:eastAsia="Times New Roman" w:cs="Calibri"/>
                <w:b/>
                <w:bCs/>
                <w:color w:val="FFFFFF"/>
                <w:sz w:val="20"/>
                <w:lang w:eastAsia="en-GB"/>
              </w:rPr>
            </w:pPr>
            <w:r>
              <w:rPr>
                <w:rFonts w:eastAsia="Times New Roman" w:cs="Calibri"/>
                <w:b/>
                <w:bCs/>
                <w:color w:val="FFFFFF"/>
                <w:sz w:val="20"/>
                <w:lang w:eastAsia="en-GB"/>
              </w:rPr>
              <w:t>2034/35</w:t>
            </w:r>
          </w:p>
        </w:tc>
        <w:tc>
          <w:tcPr>
            <w:tcW w:w="1418" w:type="dxa"/>
            <w:tcBorders>
              <w:top w:val="single" w:sz="4" w:space="0" w:color="auto"/>
              <w:left w:val="nil"/>
              <w:bottom w:val="single" w:sz="4" w:space="0" w:color="auto"/>
              <w:right w:val="single" w:sz="4" w:space="0" w:color="auto"/>
            </w:tcBorders>
            <w:vAlign w:val="center"/>
            <w:hideMark/>
          </w:tcPr>
          <w:p w14:paraId="6819D979" w14:textId="5679B7BA"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9,300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2B8D8F7" w14:textId="50E97C38"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7,400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86845AF" w14:textId="05259B84"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2,300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3462F20" w14:textId="3CDF3B96" w:rsidR="00CD3525" w:rsidRPr="00CD3525" w:rsidRDefault="00CD3525" w:rsidP="00CD3525">
            <w:pPr>
              <w:spacing w:after="0"/>
              <w:jc w:val="center"/>
              <w:rPr>
                <w:rFonts w:eastAsia="Times New Roman"/>
                <w:color w:val="000000" w:themeColor="text1"/>
                <w:sz w:val="20"/>
                <w:lang w:eastAsia="en-GB"/>
              </w:rPr>
            </w:pPr>
            <w:r w:rsidRPr="00CD3525">
              <w:rPr>
                <w:color w:val="000000"/>
                <w:sz w:val="20"/>
              </w:rPr>
              <w:t>19,000</w:t>
            </w:r>
          </w:p>
        </w:tc>
      </w:tr>
    </w:tbl>
    <w:p w14:paraId="67348C77" w14:textId="77777777" w:rsidR="00CD3525" w:rsidRDefault="00CD3525" w:rsidP="00CD3525">
      <w:pPr>
        <w:spacing w:after="120" w:line="278" w:lineRule="auto"/>
        <w:jc w:val="right"/>
        <w:rPr>
          <w:color w:val="6D6E71" w:themeColor="accent3"/>
          <w:sz w:val="18"/>
          <w:szCs w:val="16"/>
        </w:rPr>
      </w:pPr>
      <w:r>
        <w:rPr>
          <w:color w:val="6D6E71" w:themeColor="accent3"/>
          <w:sz w:val="18"/>
          <w:szCs w:val="16"/>
        </w:rPr>
        <w:t>Source: Various, Cebr analysis</w:t>
      </w:r>
    </w:p>
    <w:p w14:paraId="197DDDF7" w14:textId="77777777" w:rsidR="00CD3525" w:rsidRPr="00B45EC8" w:rsidRDefault="00CD3525" w:rsidP="00CD3525">
      <w:pPr>
        <w:spacing w:after="120" w:line="278" w:lineRule="auto"/>
        <w:jc w:val="both"/>
        <w:rPr>
          <w:color w:val="404040" w:themeColor="text1" w:themeTint="BF"/>
        </w:rPr>
      </w:pPr>
      <w:r w:rsidRPr="00B45EC8">
        <w:rPr>
          <w:color w:val="404040" w:themeColor="text1" w:themeTint="BF"/>
        </w:rPr>
        <w:t>Under these assumptions, the unified supply estimates point to a gradual but persistent contraction in the retrofit-relevant workforce over the decade to 2034/35. The decline is evident across direct, support, and supervisory roles, reflecting the combined effects of replacement demand pressures, apprenticeship inflows that are insufficient to offset exits, and sustained cross-border leakage of labour.</w:t>
      </w:r>
    </w:p>
    <w:p w14:paraId="0CB906A7" w14:textId="70279C1D" w:rsidR="00CD3525" w:rsidRPr="00B45EC8" w:rsidRDefault="00CD3525" w:rsidP="00CD3525">
      <w:pPr>
        <w:spacing w:after="120" w:line="278" w:lineRule="auto"/>
        <w:jc w:val="both"/>
        <w:rPr>
          <w:color w:val="404040" w:themeColor="text1" w:themeTint="BF"/>
        </w:rPr>
      </w:pPr>
      <w:r w:rsidRPr="40AB6E06">
        <w:rPr>
          <w:color w:val="404040" w:themeColor="text1" w:themeTint="BF"/>
        </w:rPr>
        <w:t xml:space="preserve">Direct occupations fall from around 12,000 workers in 2025/26 to </w:t>
      </w:r>
      <w:r w:rsidR="006B00D3" w:rsidRPr="40AB6E06">
        <w:rPr>
          <w:color w:val="404040" w:themeColor="text1" w:themeTint="BF"/>
        </w:rPr>
        <w:t>just above</w:t>
      </w:r>
      <w:r w:rsidRPr="40AB6E06">
        <w:rPr>
          <w:color w:val="404040" w:themeColor="text1" w:themeTint="BF"/>
        </w:rPr>
        <w:t xml:space="preserve"> 9,000 by 2034/35, while support roles decline from </w:t>
      </w:r>
      <w:r w:rsidR="006B00D3" w:rsidRPr="40AB6E06">
        <w:rPr>
          <w:color w:val="404040" w:themeColor="text1" w:themeTint="BF"/>
        </w:rPr>
        <w:t>just over</w:t>
      </w:r>
      <w:r w:rsidRPr="40AB6E06">
        <w:rPr>
          <w:color w:val="404040" w:themeColor="text1" w:themeTint="BF"/>
        </w:rPr>
        <w:t xml:space="preserve"> 9,000 to </w:t>
      </w:r>
      <w:r w:rsidR="006B00D3" w:rsidRPr="40AB6E06">
        <w:rPr>
          <w:color w:val="404040" w:themeColor="text1" w:themeTint="BF"/>
        </w:rPr>
        <w:t>roughly</w:t>
      </w:r>
      <w:r w:rsidRPr="40AB6E06">
        <w:rPr>
          <w:color w:val="404040" w:themeColor="text1" w:themeTint="BF"/>
        </w:rPr>
        <w:t xml:space="preserve"> 7,000 over the same period. Supervisory capacity also narrows steadily, reinforcing constraints at the upper end of the delivery chain. In aggregate, total retrofit-relevant labour supply declines from around 2</w:t>
      </w:r>
      <w:r w:rsidR="006B00D3" w:rsidRPr="40AB6E06">
        <w:rPr>
          <w:color w:val="404040" w:themeColor="text1" w:themeTint="BF"/>
        </w:rPr>
        <w:t>4</w:t>
      </w:r>
      <w:r w:rsidRPr="40AB6E06">
        <w:rPr>
          <w:color w:val="404040" w:themeColor="text1" w:themeTint="BF"/>
        </w:rPr>
        <w:t>,000 workers in 2025/26 to approximately 1</w:t>
      </w:r>
      <w:r w:rsidR="006B00D3" w:rsidRPr="40AB6E06">
        <w:rPr>
          <w:color w:val="404040" w:themeColor="text1" w:themeTint="BF"/>
        </w:rPr>
        <w:t>9</w:t>
      </w:r>
      <w:r w:rsidRPr="40AB6E06">
        <w:rPr>
          <w:color w:val="404040" w:themeColor="text1" w:themeTint="BF"/>
        </w:rPr>
        <w:t>,000 by 2034/35.</w:t>
      </w:r>
    </w:p>
    <w:p w14:paraId="3140F7CE" w14:textId="77777777" w:rsidR="00CD3525" w:rsidRPr="00B45EC8" w:rsidRDefault="00CD3525" w:rsidP="00CD3525">
      <w:pPr>
        <w:spacing w:after="120" w:line="278" w:lineRule="auto"/>
        <w:jc w:val="both"/>
        <w:rPr>
          <w:color w:val="404040" w:themeColor="text1" w:themeTint="BF"/>
        </w:rPr>
      </w:pPr>
      <w:r w:rsidRPr="00B45EC8">
        <w:rPr>
          <w:color w:val="404040" w:themeColor="text1" w:themeTint="BF"/>
        </w:rPr>
        <w:t>These projections indicate that, in the absence of a material scale-up in training, improved retention, or meaningful redeployment from adjacent occupations, Wales faces a tightening labour pool for retrofit delivery across the forecast horizon.</w:t>
      </w:r>
    </w:p>
    <w:p w14:paraId="61459612" w14:textId="2C743B1F" w:rsidR="00CD3525" w:rsidRDefault="00CD3525" w:rsidP="00CD3525">
      <w:pPr>
        <w:spacing w:after="120" w:line="278" w:lineRule="auto"/>
        <w:jc w:val="both"/>
        <w:rPr>
          <w:color w:val="404040" w:themeColor="text1" w:themeTint="BF"/>
        </w:rPr>
      </w:pPr>
      <w:r w:rsidRPr="00B45EC8">
        <w:rPr>
          <w:color w:val="404040" w:themeColor="text1" w:themeTint="BF"/>
        </w:rPr>
        <w:t xml:space="preserve">The estimates presented here serve as the central labour supply inputs for the workforce gap analysis in the subsequent section. </w:t>
      </w:r>
      <w:r w:rsidR="00223F0E" w:rsidRPr="00B45EC8">
        <w:rPr>
          <w:color w:val="404040" w:themeColor="text1" w:themeTint="BF"/>
        </w:rPr>
        <w:t xml:space="preserve">Given the number of scenarios available within the model, results for alternative combinations of assumptions are not reported exhaustively in this </w:t>
      </w:r>
      <w:r w:rsidR="00223F0E">
        <w:rPr>
          <w:color w:val="404040" w:themeColor="text1" w:themeTint="BF"/>
        </w:rPr>
        <w:t>report</w:t>
      </w:r>
      <w:r w:rsidR="00223F0E" w:rsidRPr="00B45EC8">
        <w:rPr>
          <w:color w:val="404040" w:themeColor="text1" w:themeTint="BF"/>
        </w:rPr>
        <w:t xml:space="preserve">. </w:t>
      </w:r>
      <w:r>
        <w:rPr>
          <w:color w:val="404040" w:themeColor="text1" w:themeTint="BF"/>
        </w:rPr>
        <w:t>In turn</w:t>
      </w:r>
      <w:r w:rsidR="006B00D3">
        <w:rPr>
          <w:color w:val="404040" w:themeColor="text1" w:themeTint="BF"/>
        </w:rPr>
        <w:t>,</w:t>
      </w:r>
      <w:r>
        <w:rPr>
          <w:color w:val="404040" w:themeColor="text1" w:themeTint="BF"/>
        </w:rPr>
        <w:t xml:space="preserve"> d</w:t>
      </w:r>
      <w:r w:rsidRPr="00E82546">
        <w:rPr>
          <w:color w:val="404040" w:themeColor="text1" w:themeTint="BF"/>
        </w:rPr>
        <w:t xml:space="preserve">etailed </w:t>
      </w:r>
      <w:r w:rsidR="006B00D3">
        <w:rPr>
          <w:color w:val="404040" w:themeColor="text1" w:themeTint="BF"/>
        </w:rPr>
        <w:t>projections</w:t>
      </w:r>
      <w:r w:rsidRPr="00E82546">
        <w:rPr>
          <w:color w:val="404040" w:themeColor="text1" w:themeTint="BF"/>
        </w:rPr>
        <w:t xml:space="preserve"> under alternative labour supply scenarios</w:t>
      </w:r>
      <w:r>
        <w:rPr>
          <w:color w:val="404040" w:themeColor="text1" w:themeTint="BF"/>
        </w:rPr>
        <w:t>, including by region and occupation,</w:t>
      </w:r>
      <w:r w:rsidRPr="00E82546">
        <w:rPr>
          <w:color w:val="404040" w:themeColor="text1" w:themeTint="BF"/>
        </w:rPr>
        <w:t xml:space="preserve"> are presented in the accompanying Excel workbook. These scenarios flex assumptions around apprenticeship funding growth, redeployment potential, and cross-border out-commuting to illustrate the sensitivity of results to different policy and labour market conditions. </w:t>
      </w:r>
    </w:p>
    <w:p w14:paraId="3866BA0B" w14:textId="0D5268A4" w:rsidR="006B00D3" w:rsidRDefault="006B00D3" w:rsidP="00CD3525">
      <w:pPr>
        <w:spacing w:after="120" w:line="278" w:lineRule="auto"/>
        <w:jc w:val="both"/>
        <w:rPr>
          <w:color w:val="404040" w:themeColor="text1" w:themeTint="BF"/>
        </w:rPr>
      </w:pPr>
      <w:r>
        <w:t>The subsections that follow present the individual labour supply components in turn. Each subsection sets out the underlying assumptions, data sources and modelling approach for apprenticeship inflows, replacement demand, cross-border out-commuting and redeployment from adjacent occupations, alongside the resulting impacts on workforce availability.</w:t>
      </w:r>
    </w:p>
    <w:p w14:paraId="163C2DAA" w14:textId="77777777" w:rsidR="00CD3525" w:rsidRPr="00CD3525" w:rsidRDefault="00CD3525" w:rsidP="00CD3525"/>
    <w:p w14:paraId="38A8D4F1" w14:textId="0AE34558" w:rsidR="00B97591" w:rsidRPr="00F201AD" w:rsidRDefault="00B97591" w:rsidP="007247D2">
      <w:pPr>
        <w:pStyle w:val="Heading2"/>
        <w:spacing w:line="278" w:lineRule="auto"/>
      </w:pPr>
      <w:bookmarkStart w:id="26" w:name="_Toc221182661"/>
      <w:r>
        <w:lastRenderedPageBreak/>
        <w:t>Out-commuting and labour market pull</w:t>
      </w:r>
      <w:bookmarkEnd w:id="26"/>
    </w:p>
    <w:p w14:paraId="0CF338B1" w14:textId="05053D66" w:rsidR="00B97591" w:rsidRDefault="00D62F1C" w:rsidP="00AF6F14">
      <w:pPr>
        <w:pStyle w:val="Caption"/>
      </w:pPr>
      <w:r>
        <w:rPr>
          <w:noProof/>
          <w:color w:val="6D6E71" w:themeColor="accent3"/>
          <w:sz w:val="18"/>
        </w:rPr>
        <mc:AlternateContent>
          <mc:Choice Requires="wps">
            <w:drawing>
              <wp:anchor distT="0" distB="0" distL="114300" distR="114300" simplePos="0" relativeHeight="251658248" behindDoc="0" locked="0" layoutInCell="1" allowOverlap="1" wp14:anchorId="03BAC4C4" wp14:editId="2C3CEC6C">
                <wp:simplePos x="0" y="0"/>
                <wp:positionH relativeFrom="column">
                  <wp:posOffset>3952875</wp:posOffset>
                </wp:positionH>
                <wp:positionV relativeFrom="paragraph">
                  <wp:posOffset>297180</wp:posOffset>
                </wp:positionV>
                <wp:extent cx="1647825" cy="2762250"/>
                <wp:effectExtent l="0" t="0" r="9525" b="0"/>
                <wp:wrapTopAndBottom/>
                <wp:docPr id="492589246" name="Rectangle 4"/>
                <wp:cNvGraphicFramePr/>
                <a:graphic xmlns:a="http://schemas.openxmlformats.org/drawingml/2006/main">
                  <a:graphicData uri="http://schemas.microsoft.com/office/word/2010/wordprocessingShape">
                    <wps:wsp>
                      <wps:cNvSpPr/>
                      <wps:spPr>
                        <a:xfrm>
                          <a:off x="0" y="0"/>
                          <a:ext cx="1647825" cy="2762250"/>
                        </a:xfrm>
                        <a:prstGeom prst="rect">
                          <a:avLst/>
                        </a:prstGeom>
                        <a:solidFill>
                          <a:schemeClr val="bg1">
                            <a:lumMod val="95000"/>
                            <a:alpha val="50196"/>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v:rect id="Rectangle 4" style="position:absolute;margin-left:311.25pt;margin-top:23.4pt;width:129.75pt;height:217.5pt;z-index:2516572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2f2f2 [3052]" stroked="f" strokeweight="2pt" w14:anchorId="1ABA6E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">
                <v:fill opacity="32896f"/>
                <w10:wrap type="topAndBottom"/>
              </v:rect>
            </w:pict>
          </mc:Fallback>
        </mc:AlternateContent>
      </w:r>
      <w:r w:rsidR="00FB7F00">
        <w:rPr>
          <w:noProof/>
        </w:rPr>
        <w:drawing>
          <wp:anchor distT="0" distB="0" distL="114300" distR="114300" simplePos="0" relativeHeight="251658242" behindDoc="0" locked="0" layoutInCell="1" allowOverlap="1" wp14:anchorId="7536408F" wp14:editId="4D70EBF0">
            <wp:simplePos x="0" y="0"/>
            <wp:positionH relativeFrom="column">
              <wp:posOffset>-9525</wp:posOffset>
            </wp:positionH>
            <wp:positionV relativeFrom="paragraph">
              <wp:posOffset>153035</wp:posOffset>
            </wp:positionV>
            <wp:extent cx="5753100" cy="3533775"/>
            <wp:effectExtent l="0" t="0" r="0" b="0"/>
            <wp:wrapTopAndBottom/>
            <wp:docPr id="327843291" name="Chart 1" descr="Line chart showing historical and forecast numbers of people commuting from Wales to England for work. A central forecast line is shown alongside upper and lower bounds, indicating gradual growth in out-commuting over time with uncertainty ranges.">
              <a:extLst xmlns:a="http://schemas.openxmlformats.org/drawingml/2006/main">
                <a:ext uri="{FF2B5EF4-FFF2-40B4-BE49-F238E27FC236}">
                  <a16:creationId xmlns:a16="http://schemas.microsoft.com/office/drawing/2014/main" id="{AD3A551A-EF01-3FE8-7D76-00DA79C3F28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14:sizeRelH relativeFrom="margin">
              <wp14:pctWidth>0</wp14:pctWidth>
            </wp14:sizeRelH>
            <wp14:sizeRelV relativeFrom="margin">
              <wp14:pctHeight>0</wp14:pctHeight>
            </wp14:sizeRelV>
          </wp:anchor>
        </w:drawing>
      </w:r>
      <w:r w:rsidR="00AF6F14" w:rsidRPr="00AF6F14">
        <w:rPr>
          <w:color w:val="6D6E71" w:themeColor="accent3"/>
          <w:sz w:val="18"/>
        </w:rPr>
        <w:t xml:space="preserve">Figure </w:t>
      </w:r>
      <w:r w:rsidR="00AF6F14" w:rsidRPr="00AF6F14">
        <w:rPr>
          <w:color w:val="6D6E71" w:themeColor="accent3"/>
          <w:sz w:val="18"/>
        </w:rPr>
        <w:fldChar w:fldCharType="begin"/>
      </w:r>
      <w:r w:rsidR="00AF6F14" w:rsidRPr="00AF6F14">
        <w:rPr>
          <w:color w:val="6D6E71" w:themeColor="accent3"/>
          <w:sz w:val="18"/>
        </w:rPr>
        <w:instrText xml:space="preserve"> SEQ Figure \* ARABIC </w:instrText>
      </w:r>
      <w:r w:rsidR="00AF6F14" w:rsidRPr="00AF6F14">
        <w:rPr>
          <w:color w:val="6D6E71" w:themeColor="accent3"/>
          <w:sz w:val="18"/>
        </w:rPr>
        <w:fldChar w:fldCharType="separate"/>
      </w:r>
      <w:r w:rsidR="004775B5">
        <w:rPr>
          <w:noProof/>
          <w:color w:val="6D6E71" w:themeColor="accent3"/>
          <w:sz w:val="18"/>
        </w:rPr>
        <w:t>3</w:t>
      </w:r>
      <w:r w:rsidR="00AF6F14" w:rsidRPr="00AF6F14">
        <w:rPr>
          <w:color w:val="6D6E71" w:themeColor="accent3"/>
          <w:sz w:val="18"/>
        </w:rPr>
        <w:fldChar w:fldCharType="end"/>
      </w:r>
      <w:r w:rsidR="00AF6F14">
        <w:rPr>
          <w:color w:val="6D6E71" w:themeColor="accent3"/>
          <w:sz w:val="18"/>
        </w:rPr>
        <w:t>:</w:t>
      </w:r>
      <w:r w:rsidR="00B97591">
        <w:rPr>
          <w:color w:val="6D6E71" w:themeColor="accent3"/>
          <w:sz w:val="18"/>
        </w:rPr>
        <w:t>Outturn and forecast out-commuting from Wales to England</w:t>
      </w:r>
      <w:r w:rsidR="005B5BB8">
        <w:rPr>
          <w:color w:val="6D6E71" w:themeColor="accent3"/>
          <w:sz w:val="18"/>
        </w:rPr>
        <w:t>, including upper and lower bounds</w:t>
      </w:r>
    </w:p>
    <w:p w14:paraId="4F82E1E8" w14:textId="77777777" w:rsidR="00201EF7" w:rsidRDefault="00B97591" w:rsidP="00201EF7">
      <w:pPr>
        <w:spacing w:after="0"/>
        <w:jc w:val="right"/>
      </w:pPr>
      <w:r>
        <w:rPr>
          <w:color w:val="6D6E71" w:themeColor="accent3"/>
          <w:sz w:val="18"/>
          <w:szCs w:val="16"/>
        </w:rPr>
        <w:t>Source: Various, Cebr analysis</w:t>
      </w:r>
    </w:p>
    <w:p w14:paraId="7CA583EB" w14:textId="77777777" w:rsidR="00201EF7" w:rsidRDefault="00201EF7" w:rsidP="00201EF7">
      <w:pPr>
        <w:spacing w:after="0"/>
      </w:pPr>
    </w:p>
    <w:p w14:paraId="6011D332" w14:textId="4ADFCC49" w:rsidR="00040457" w:rsidRDefault="00B97591" w:rsidP="00733D64">
      <w:pPr>
        <w:spacing w:after="120" w:line="278" w:lineRule="auto"/>
        <w:jc w:val="both"/>
      </w:pPr>
      <w:r>
        <w:t xml:space="preserve">Figure </w:t>
      </w:r>
      <w:r w:rsidR="00167C62">
        <w:t>3</w:t>
      </w:r>
      <w:r>
        <w:t xml:space="preserve"> presents the historical and forecast trajectory of </w:t>
      </w:r>
      <w:r w:rsidR="00D62F1C">
        <w:t>absolute commuter flows</w:t>
      </w:r>
      <w:r>
        <w:t xml:space="preserve"> from Wales to England. Historic outturns were sourced from StatsWales. Future values were generated by applying the elasticity obtained from our panel regression to Cebr’s forecasts of the England-Wales activity differential, produced using Cebr’s in-house macroeconomic modelling suite. This yields indicative estimates of future out-commuting levels.</w:t>
      </w:r>
    </w:p>
    <w:p w14:paraId="0B5146D4" w14:textId="5CAE5CA1" w:rsidR="00D62F1C" w:rsidRDefault="00D62F1C" w:rsidP="00733D64">
      <w:pPr>
        <w:spacing w:after="120" w:line="278" w:lineRule="auto"/>
        <w:jc w:val="both"/>
      </w:pPr>
      <w:r w:rsidRPr="00D62F1C">
        <w:t>To test how sensitive the results are, we apply a reasonable upper and lower range around the central estimate. These bounds are used to produce a higher and a lower case, shown by the red and green dotted lines across the forecast period. The central case, which reflects historic trends, is shown by the solid yellow line.</w:t>
      </w:r>
    </w:p>
    <w:p w14:paraId="1CA9CA36" w14:textId="7BC15F11" w:rsidR="00733D64" w:rsidRDefault="00D62F1C" w:rsidP="00733D64">
      <w:pPr>
        <w:spacing w:after="120" w:line="278" w:lineRule="auto"/>
        <w:jc w:val="both"/>
      </w:pPr>
      <w:r>
        <w:t>Under the central case, t</w:t>
      </w:r>
      <w:r w:rsidR="00B97591">
        <w:t xml:space="preserve">he model suggests that out-commuting will continue to rise gradually over the forecast period, recording a reading close to its near-term peak of </w:t>
      </w:r>
      <w:r>
        <w:t xml:space="preserve">approximately </w:t>
      </w:r>
      <w:r w:rsidR="00B97591">
        <w:t>93,</w:t>
      </w:r>
      <w:r>
        <w:t>0</w:t>
      </w:r>
      <w:r w:rsidR="00B97591">
        <w:t xml:space="preserve">00 in 2020 by the end of our forecast </w:t>
      </w:r>
      <w:r w:rsidR="00733D64">
        <w:t>horizon [</w:t>
      </w:r>
      <w:r w:rsidR="00B97591" w:rsidRPr="00733D64">
        <w:rPr>
          <w:rStyle w:val="FootnoteReference"/>
          <w:color w:val="404040" w:themeColor="text1" w:themeTint="BF"/>
          <w:position w:val="0"/>
          <w:sz w:val="22"/>
        </w:rPr>
        <w:footnoteReference w:id="1"/>
      </w:r>
      <w:r w:rsidR="00733D64">
        <w:t>].</w:t>
      </w:r>
      <w:r>
        <w:t xml:space="preserve"> </w:t>
      </w:r>
      <w:r w:rsidR="00B97591">
        <w:t>These changes reflect modest but sustained differences in economic activity between England and Wales over the medium term, which generate incremental increases in cross-border labour flows.</w:t>
      </w:r>
    </w:p>
    <w:p w14:paraId="6D77452F" w14:textId="3369FA0A" w:rsidR="00B97591" w:rsidRDefault="00B97591" w:rsidP="00733D64">
      <w:pPr>
        <w:spacing w:after="120" w:line="278" w:lineRule="auto"/>
        <w:jc w:val="both"/>
      </w:pPr>
      <w:r>
        <w:lastRenderedPageBreak/>
        <w:t>Consequently, we apply the construction share of total out-commuters from Wales to the modelled out-commuting totals to derive an estimate of the number of Welsh residents who commute to England specifically to work in the construction industry. Because official data on construction-specific out-commuting flows are not widely available</w:t>
      </w:r>
      <w:r w:rsidR="00D80F04">
        <w:t xml:space="preserve"> beyond Census 2001</w:t>
      </w:r>
      <w:r>
        <w:t xml:space="preserve">, we rely on </w:t>
      </w:r>
      <w:r w:rsidR="00D80F04">
        <w:t>a derived construction</w:t>
      </w:r>
      <w:r>
        <w:t xml:space="preserve"> share from the Census</w:t>
      </w:r>
      <w:r w:rsidR="00D80F04">
        <w:t xml:space="preserve"> 20</w:t>
      </w:r>
      <w:r w:rsidR="00D026A8">
        <w:t>21</w:t>
      </w:r>
      <w:r>
        <w:t xml:space="preserve"> as the best available benchmark and assume this proportion remains broadly stable over time</w:t>
      </w:r>
      <w:r w:rsidR="00D62F1C">
        <w:t xml:space="preserve"> [</w:t>
      </w:r>
      <w:r w:rsidR="00D62F1C" w:rsidRPr="00D80F04">
        <w:footnoteReference w:id="2"/>
      </w:r>
      <w:r w:rsidR="00D62F1C">
        <w:t>]</w:t>
      </w:r>
      <w:r>
        <w:t>.</w:t>
      </w:r>
    </w:p>
    <w:p w14:paraId="49D057C6" w14:textId="7471565F" w:rsidR="00C243C5" w:rsidRDefault="00B97591" w:rsidP="00B97591">
      <w:pPr>
        <w:spacing w:after="120" w:line="278" w:lineRule="auto"/>
        <w:jc w:val="both"/>
      </w:pPr>
      <w:r>
        <w:t xml:space="preserve">To isolate those working in retrofit-relevant activities, this construction out-commuting estimate is then scaled by the share of construction employment deemed retrofit-relevant in Section 1. This yields an indicative measure of both historical and forecast out-commuting among the prospective retrofit workforce. Under </w:t>
      </w:r>
      <w:r w:rsidR="00D62F1C">
        <w:t>the central case assuming the persistence of historic trends</w:t>
      </w:r>
      <w:r>
        <w:t>, out-commuting among retrofit-relevant workers is estimated at around 1,600 workers in 2024, rising to approximately 1,800 workers over the forecast horizon.</w:t>
      </w:r>
    </w:p>
    <w:p w14:paraId="663BA5AD" w14:textId="61A913B8" w:rsidR="00B97591" w:rsidRDefault="00802461" w:rsidP="00AF6F14">
      <w:pPr>
        <w:pStyle w:val="Caption"/>
      </w:pPr>
      <w:r>
        <w:rPr>
          <w:noProof/>
          <w:color w:val="6D6E71" w:themeColor="accent3"/>
          <w:sz w:val="18"/>
        </w:rPr>
        <mc:AlternateContent>
          <mc:Choice Requires="wps">
            <w:drawing>
              <wp:anchor distT="0" distB="0" distL="114300" distR="114300" simplePos="0" relativeHeight="251658249" behindDoc="0" locked="0" layoutInCell="1" allowOverlap="1" wp14:anchorId="0F8D16B3" wp14:editId="3846C034">
                <wp:simplePos x="0" y="0"/>
                <wp:positionH relativeFrom="column">
                  <wp:posOffset>3667125</wp:posOffset>
                </wp:positionH>
                <wp:positionV relativeFrom="paragraph">
                  <wp:posOffset>462915</wp:posOffset>
                </wp:positionV>
                <wp:extent cx="1933575" cy="2428875"/>
                <wp:effectExtent l="0" t="0" r="9525" b="9525"/>
                <wp:wrapTopAndBottom/>
                <wp:docPr id="89226084" name="Rectangle 4"/>
                <wp:cNvGraphicFramePr/>
                <a:graphic xmlns:a="http://schemas.openxmlformats.org/drawingml/2006/main">
                  <a:graphicData uri="http://schemas.microsoft.com/office/word/2010/wordprocessingShape">
                    <wps:wsp>
                      <wps:cNvSpPr/>
                      <wps:spPr>
                        <a:xfrm>
                          <a:off x="0" y="0"/>
                          <a:ext cx="1933575" cy="2428875"/>
                        </a:xfrm>
                        <a:prstGeom prst="rect">
                          <a:avLst/>
                        </a:prstGeom>
                        <a:solidFill>
                          <a:schemeClr val="bg1">
                            <a:lumMod val="95000"/>
                            <a:alpha val="50196"/>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v:rect id="Rectangle 4" style="position:absolute;margin-left:288.75pt;margin-top:36.45pt;width:152.25pt;height:191.25pt;z-index:251657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f2f2f2 [3052]" stroked="f" strokeweight="2pt" w14:anchorId="3CCFBD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">
                <v:fill opacity="32896f"/>
                <w10:wrap type="topAndBottom"/>
              </v:rect>
            </w:pict>
          </mc:Fallback>
        </mc:AlternateContent>
      </w:r>
      <w:r w:rsidR="005B5BB8">
        <w:rPr>
          <w:noProof/>
        </w:rPr>
        <w:drawing>
          <wp:anchor distT="0" distB="0" distL="114300" distR="114300" simplePos="0" relativeHeight="251658241" behindDoc="0" locked="0" layoutInCell="1" allowOverlap="1" wp14:anchorId="2231C78E" wp14:editId="7BB0D6A4">
            <wp:simplePos x="0" y="0"/>
            <wp:positionH relativeFrom="column">
              <wp:posOffset>0</wp:posOffset>
            </wp:positionH>
            <wp:positionV relativeFrom="paragraph">
              <wp:posOffset>320040</wp:posOffset>
            </wp:positionV>
            <wp:extent cx="5762625" cy="3238500"/>
            <wp:effectExtent l="0" t="0" r="0" b="0"/>
            <wp:wrapTopAndBottom/>
            <wp:docPr id="604710896" name="Chart 1" descr="Line chart showing estimated historical and forecast out-commuting of workers in retrofit-relevant occupations from Wales to England. Central estimate is presented with upper and lower bounds, showing a modest upward trend over the forecast period.">
              <a:extLst xmlns:a="http://schemas.openxmlformats.org/drawingml/2006/main">
                <a:ext uri="{FF2B5EF4-FFF2-40B4-BE49-F238E27FC236}">
                  <a16:creationId xmlns:a16="http://schemas.microsoft.com/office/drawing/2014/main" id="{049E40B8-61C3-5CBD-0313-8016A79FF56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H relativeFrom="margin">
              <wp14:pctWidth>0</wp14:pctWidth>
            </wp14:sizeRelH>
            <wp14:sizeRelV relativeFrom="margin">
              <wp14:pctHeight>0</wp14:pctHeight>
            </wp14:sizeRelV>
          </wp:anchor>
        </w:drawing>
      </w:r>
      <w:r w:rsidR="00AF6F14" w:rsidRPr="00AF6F14">
        <w:rPr>
          <w:color w:val="6D6E71" w:themeColor="accent3"/>
          <w:sz w:val="18"/>
        </w:rPr>
        <w:t xml:space="preserve">Figure </w:t>
      </w:r>
      <w:r w:rsidR="00AF6F14" w:rsidRPr="00AF6F14">
        <w:rPr>
          <w:color w:val="6D6E71" w:themeColor="accent3"/>
          <w:sz w:val="18"/>
        </w:rPr>
        <w:fldChar w:fldCharType="begin"/>
      </w:r>
      <w:r w:rsidR="00AF6F14" w:rsidRPr="00AF6F14">
        <w:rPr>
          <w:color w:val="6D6E71" w:themeColor="accent3"/>
          <w:sz w:val="18"/>
        </w:rPr>
        <w:instrText xml:space="preserve"> SEQ Figure \* ARABIC </w:instrText>
      </w:r>
      <w:r w:rsidR="00AF6F14" w:rsidRPr="00AF6F14">
        <w:rPr>
          <w:color w:val="6D6E71" w:themeColor="accent3"/>
          <w:sz w:val="18"/>
        </w:rPr>
        <w:fldChar w:fldCharType="separate"/>
      </w:r>
      <w:r w:rsidR="004775B5">
        <w:rPr>
          <w:noProof/>
          <w:color w:val="6D6E71" w:themeColor="accent3"/>
          <w:sz w:val="18"/>
        </w:rPr>
        <w:t>4</w:t>
      </w:r>
      <w:r w:rsidR="00AF6F14" w:rsidRPr="00AF6F14">
        <w:rPr>
          <w:color w:val="6D6E71" w:themeColor="accent3"/>
          <w:sz w:val="18"/>
        </w:rPr>
        <w:fldChar w:fldCharType="end"/>
      </w:r>
      <w:r w:rsidR="00AF6F14">
        <w:rPr>
          <w:color w:val="6D6E71" w:themeColor="accent3"/>
          <w:sz w:val="18"/>
        </w:rPr>
        <w:t>:</w:t>
      </w:r>
      <w:r w:rsidR="00B97591" w:rsidRPr="00015203">
        <w:rPr>
          <w:color w:val="6D6E71" w:themeColor="accent3"/>
          <w:sz w:val="18"/>
        </w:rPr>
        <w:t xml:space="preserve"> </w:t>
      </w:r>
      <w:r w:rsidR="00B97591">
        <w:rPr>
          <w:color w:val="6D6E71" w:themeColor="accent3"/>
          <w:sz w:val="18"/>
        </w:rPr>
        <w:t>Outturn and forecast out-commuting amongst retrofit-relevant workforce from Wales to England</w:t>
      </w:r>
      <w:r w:rsidR="005B5BB8">
        <w:rPr>
          <w:color w:val="6D6E71" w:themeColor="accent3"/>
          <w:sz w:val="18"/>
        </w:rPr>
        <w:t>, including upper and lower bounds</w:t>
      </w:r>
    </w:p>
    <w:p w14:paraId="356C5CAA" w14:textId="2902FFA6" w:rsidR="00C243C5" w:rsidRDefault="00B97591" w:rsidP="00C243C5">
      <w:pPr>
        <w:spacing w:after="0"/>
        <w:jc w:val="right"/>
      </w:pPr>
      <w:r>
        <w:rPr>
          <w:color w:val="6D6E71" w:themeColor="accent3"/>
          <w:sz w:val="18"/>
          <w:szCs w:val="16"/>
        </w:rPr>
        <w:t>Source: Various, Cebr analysis</w:t>
      </w:r>
      <w:r>
        <w:t xml:space="preserve"> </w:t>
      </w:r>
    </w:p>
    <w:p w14:paraId="1A3E2A12" w14:textId="77777777" w:rsidR="00C243C5" w:rsidRDefault="00C243C5" w:rsidP="00C243C5">
      <w:pPr>
        <w:spacing w:after="0"/>
      </w:pPr>
    </w:p>
    <w:p w14:paraId="42517229" w14:textId="2DED9D12" w:rsidR="007247D2" w:rsidRDefault="00B97591" w:rsidP="00B97591">
      <w:pPr>
        <w:spacing w:after="120" w:line="278" w:lineRule="auto"/>
        <w:jc w:val="both"/>
      </w:pPr>
      <w:r>
        <w:t xml:space="preserve">These leakage estimates form a key component of our labour supply modelling. It is worth noting that these are mechanically linked to Cebr’s projections for the England-Wales general activity differential. The projections reflect Cebr’s wider macroeconomic outlook, which assumes a continuation of currently observable trends in output, labour demand and sectoral activity across both nations. In turn, the baseline view incorporates publicly available information on policy intentions and economic conditions and at present, available evidence </w:t>
      </w:r>
      <w:r>
        <w:lastRenderedPageBreak/>
        <w:t>suggests that both large-scale housebuilding and major retrofit programmes within the UK as a whole face delivery challenges.</w:t>
      </w:r>
    </w:p>
    <w:p w14:paraId="03E35A10" w14:textId="584E0309" w:rsidR="00C243C5" w:rsidRDefault="6A78DD99" w:rsidP="00B97591">
      <w:pPr>
        <w:spacing w:after="120" w:line="278" w:lineRule="auto"/>
        <w:jc w:val="both"/>
      </w:pPr>
      <w:r>
        <w:t xml:space="preserve">That said, any future divergence in economic activity between England and Wales would alter the differential and therefore change the implied leakage of Welsh construction and retrofit workers. This includes a step-up in housing delivery linked to the current </w:t>
      </w:r>
      <w:r w:rsidR="000356D7">
        <w:t xml:space="preserve">UK </w:t>
      </w:r>
      <w:r>
        <w:t xml:space="preserve">Government’s ambition for 1.5 million new homes or accelerated retrofit deployment in England </w:t>
      </w:r>
      <w:r w:rsidR="00446137">
        <w:t>following</w:t>
      </w:r>
      <w:r>
        <w:t xml:space="preserve"> the formal announcement of the </w:t>
      </w:r>
      <w:r w:rsidR="1C74B3F9">
        <w:t>UK</w:t>
      </w:r>
      <w:r w:rsidR="00D026A8">
        <w:t xml:space="preserve"> </w:t>
      </w:r>
      <w:r>
        <w:t>Government’s Warm Homes Plan</w:t>
      </w:r>
      <w:r w:rsidR="00446137">
        <w:t>. Any changes c</w:t>
      </w:r>
      <w:r>
        <w:t>ould increase the differential and consequently raise the implied leakage of Welsh construction and retrofit workers.</w:t>
      </w:r>
    </w:p>
    <w:p w14:paraId="75DEEB14" w14:textId="7B8569EF" w:rsidR="005B5BB8" w:rsidRDefault="005B5BB8" w:rsidP="00B97591">
      <w:pPr>
        <w:spacing w:after="120" w:line="278" w:lineRule="auto"/>
        <w:jc w:val="both"/>
      </w:pPr>
      <w:r>
        <w:t>More technical information on the forecasting model employed, including model diagnostics, can be found in the Appendix</w:t>
      </w:r>
      <w:r w:rsidR="00446137">
        <w:t xml:space="preserve"> C</w:t>
      </w:r>
      <w:r>
        <w:t>.</w:t>
      </w:r>
    </w:p>
    <w:p w14:paraId="75E35320" w14:textId="499556AD" w:rsidR="00C243C5" w:rsidRDefault="00C243C5">
      <w:pPr>
        <w:spacing w:after="0"/>
      </w:pPr>
    </w:p>
    <w:p w14:paraId="4402C119" w14:textId="77777777" w:rsidR="00B97591" w:rsidRPr="00F201AD" w:rsidRDefault="00B97591" w:rsidP="00B97591">
      <w:pPr>
        <w:pStyle w:val="Heading2"/>
        <w:spacing w:line="278" w:lineRule="auto"/>
      </w:pPr>
      <w:bookmarkStart w:id="27" w:name="_Toc221182662"/>
      <w:r>
        <w:t>Apprenticeships and training pathways</w:t>
      </w:r>
      <w:bookmarkEnd w:id="27"/>
    </w:p>
    <w:p w14:paraId="38B6B925" w14:textId="1E20A22B" w:rsidR="00B97591" w:rsidRDefault="005B5BB8" w:rsidP="005B5BB8">
      <w:pPr>
        <w:pStyle w:val="Caption"/>
        <w:rPr>
          <w:color w:val="6D6E71" w:themeColor="accent3"/>
          <w:sz w:val="18"/>
        </w:rPr>
      </w:pPr>
      <w:r w:rsidRPr="005B5BB8">
        <w:rPr>
          <w:color w:val="6D6E71" w:themeColor="accent3"/>
          <w:sz w:val="18"/>
        </w:rPr>
        <w:t xml:space="preserve">Figure </w:t>
      </w:r>
      <w:r w:rsidRPr="005B5BB8">
        <w:rPr>
          <w:color w:val="6D6E71" w:themeColor="accent3"/>
          <w:sz w:val="18"/>
        </w:rPr>
        <w:fldChar w:fldCharType="begin"/>
      </w:r>
      <w:r w:rsidRPr="005B5BB8">
        <w:rPr>
          <w:color w:val="6D6E71" w:themeColor="accent3"/>
          <w:sz w:val="18"/>
        </w:rPr>
        <w:instrText xml:space="preserve"> SEQ Figure \* ARABIC </w:instrText>
      </w:r>
      <w:r w:rsidRPr="005B5BB8">
        <w:rPr>
          <w:color w:val="6D6E71" w:themeColor="accent3"/>
          <w:sz w:val="18"/>
        </w:rPr>
        <w:fldChar w:fldCharType="separate"/>
      </w:r>
      <w:r w:rsidR="004775B5">
        <w:rPr>
          <w:noProof/>
          <w:color w:val="6D6E71" w:themeColor="accent3"/>
          <w:sz w:val="18"/>
        </w:rPr>
        <w:t>5</w:t>
      </w:r>
      <w:r w:rsidRPr="005B5BB8">
        <w:rPr>
          <w:color w:val="6D6E71" w:themeColor="accent3"/>
          <w:sz w:val="18"/>
        </w:rPr>
        <w:fldChar w:fldCharType="end"/>
      </w:r>
      <w:r w:rsidRPr="005B5BB8">
        <w:rPr>
          <w:color w:val="6D6E71" w:themeColor="accent3"/>
          <w:sz w:val="18"/>
        </w:rPr>
        <w:t>:</w:t>
      </w:r>
      <w:r>
        <w:t xml:space="preserve"> </w:t>
      </w:r>
      <w:r w:rsidR="00B97591">
        <w:rPr>
          <w:color w:val="6D6E71" w:themeColor="accent3"/>
          <w:sz w:val="18"/>
        </w:rPr>
        <w:t>Outturn and forecast completions for retrofit-relevant pathways</w:t>
      </w:r>
      <w:r w:rsidR="00301C3B">
        <w:rPr>
          <w:color w:val="6D6E71" w:themeColor="accent3"/>
          <w:sz w:val="18"/>
        </w:rPr>
        <w:t xml:space="preserve"> under 2% per annum nominal funding increase</w:t>
      </w:r>
    </w:p>
    <w:p w14:paraId="4F0E20F6" w14:textId="4847EDCD" w:rsidR="00AF6F14" w:rsidRDefault="00AF6F14" w:rsidP="00B97591">
      <w:pPr>
        <w:spacing w:after="120" w:line="278" w:lineRule="auto"/>
        <w:jc w:val="both"/>
        <w:rPr>
          <w:color w:val="6D6E71" w:themeColor="accent3"/>
          <w:sz w:val="18"/>
          <w:szCs w:val="16"/>
        </w:rPr>
      </w:pPr>
      <w:r>
        <w:rPr>
          <w:noProof/>
        </w:rPr>
        <w:drawing>
          <wp:inline distT="0" distB="0" distL="0" distR="0" wp14:anchorId="0A7A9F67" wp14:editId="39755E08">
            <wp:extent cx="5724525" cy="4143375"/>
            <wp:effectExtent l="0" t="0" r="0" b="0"/>
            <wp:docPr id="591766481" name="Chart 1" descr="Stacked bar chart showing historical and forecast apprenticeship completions for retrofit-relevant training pathways under an assumption of 2% annual nominal funding growth. Completions vary by pathway over time, with electrical installation and plumbing and heating accounting for the largest shares, and total completions declining slightly in the later forecast years.">
              <a:extLst xmlns:a="http://schemas.openxmlformats.org/drawingml/2006/main">
                <a:ext uri="{FF2B5EF4-FFF2-40B4-BE49-F238E27FC236}">
                  <a16:creationId xmlns:a16="http://schemas.microsoft.com/office/drawing/2014/main" id="{A26CB05E-330A-0D48-705E-6312292C01B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54E98AD8" w14:textId="77777777" w:rsidR="00B97591" w:rsidRDefault="00B97591" w:rsidP="00B97591">
      <w:pPr>
        <w:spacing w:after="120" w:line="278" w:lineRule="auto"/>
        <w:jc w:val="right"/>
        <w:rPr>
          <w:color w:val="6D6E71" w:themeColor="accent3"/>
          <w:sz w:val="18"/>
          <w:szCs w:val="16"/>
        </w:rPr>
      </w:pPr>
      <w:r>
        <w:rPr>
          <w:color w:val="6D6E71" w:themeColor="accent3"/>
          <w:sz w:val="18"/>
          <w:szCs w:val="16"/>
        </w:rPr>
        <w:t>Source: Various, Cebr analysis</w:t>
      </w:r>
      <w:r>
        <w:t xml:space="preserve"> </w:t>
      </w:r>
    </w:p>
    <w:p w14:paraId="1E806879" w14:textId="7D1A072C" w:rsidR="00B97591" w:rsidRDefault="00B97591" w:rsidP="00B97591">
      <w:pPr>
        <w:spacing w:after="120" w:line="278" w:lineRule="auto"/>
        <w:jc w:val="both"/>
      </w:pPr>
      <w:r>
        <w:t xml:space="preserve">Figure </w:t>
      </w:r>
      <w:r w:rsidR="00167C62">
        <w:t>5</w:t>
      </w:r>
      <w:r>
        <w:t xml:space="preserve"> </w:t>
      </w:r>
      <w:r w:rsidRPr="00F43EAE">
        <w:t xml:space="preserve">presents </w:t>
      </w:r>
      <w:r>
        <w:t>our findings on outturn and forecasts</w:t>
      </w:r>
      <w:r w:rsidRPr="00F43EAE">
        <w:t xml:space="preserve"> </w:t>
      </w:r>
      <w:r>
        <w:t xml:space="preserve">for </w:t>
      </w:r>
      <w:r w:rsidRPr="00F43EAE">
        <w:t>annual apprenticeship completions across the qualification pathways most relevant to retrofit delivery</w:t>
      </w:r>
      <w:r w:rsidR="00AF6F14">
        <w:t>, specifically under the scenario of a 2% per annum increase in nominal apprenticeship funding beyond 2026/27</w:t>
      </w:r>
      <w:r w:rsidRPr="00F43EAE">
        <w:t>. These pathways were selected based on their functional alignment with retrofit work</w:t>
      </w:r>
      <w:r>
        <w:t>, based on our previous analysis in Section 1</w:t>
      </w:r>
      <w:r w:rsidRPr="00F43EAE">
        <w:t>:</w:t>
      </w:r>
    </w:p>
    <w:p w14:paraId="3F34A1EE" w14:textId="77777777" w:rsidR="00B97591" w:rsidRDefault="00B97591" w:rsidP="00DD6114">
      <w:pPr>
        <w:pStyle w:val="ListParagraph"/>
        <w:numPr>
          <w:ilvl w:val="0"/>
          <w:numId w:val="22"/>
        </w:numPr>
        <w:spacing w:after="120" w:line="278" w:lineRule="auto"/>
        <w:ind w:left="714" w:hanging="357"/>
        <w:jc w:val="both"/>
      </w:pPr>
      <w:r w:rsidRPr="0041380F">
        <w:rPr>
          <w:b/>
          <w:bCs/>
        </w:rPr>
        <w:lastRenderedPageBreak/>
        <w:t>Electrical Installation, Plumbing and Heating, and Heating and Ventilation</w:t>
      </w:r>
      <w:r w:rsidRPr="00F43EAE">
        <w:t xml:space="preserve"> are treated as core</w:t>
      </w:r>
      <w:r>
        <w:t>-</w:t>
      </w:r>
      <w:r w:rsidRPr="00F43EAE">
        <w:t>direct occupations</w:t>
      </w:r>
      <w:r>
        <w:t>;</w:t>
      </w:r>
    </w:p>
    <w:p w14:paraId="6134F53C" w14:textId="77777777" w:rsidR="00B97591" w:rsidRDefault="00B97591" w:rsidP="00DD6114">
      <w:pPr>
        <w:pStyle w:val="ListParagraph"/>
        <w:numPr>
          <w:ilvl w:val="0"/>
          <w:numId w:val="22"/>
        </w:numPr>
        <w:spacing w:after="120" w:line="278" w:lineRule="auto"/>
        <w:ind w:left="714" w:hanging="357"/>
        <w:jc w:val="both"/>
      </w:pPr>
      <w:r w:rsidRPr="0041380F">
        <w:rPr>
          <w:b/>
          <w:bCs/>
        </w:rPr>
        <w:t>Construction Specialist</w:t>
      </w:r>
      <w:r w:rsidRPr="00F43EAE">
        <w:t xml:space="preserve"> is categorised as core</w:t>
      </w:r>
      <w:r>
        <w:t>-</w:t>
      </w:r>
      <w:r w:rsidRPr="00F43EAE">
        <w:t xml:space="preserve">support; and </w:t>
      </w:r>
    </w:p>
    <w:p w14:paraId="47B0ED77" w14:textId="77777777" w:rsidR="00B97591" w:rsidRDefault="00B97591" w:rsidP="00DD6114">
      <w:pPr>
        <w:pStyle w:val="ListParagraph"/>
        <w:numPr>
          <w:ilvl w:val="0"/>
          <w:numId w:val="22"/>
        </w:numPr>
        <w:spacing w:after="120" w:line="278" w:lineRule="auto"/>
        <w:ind w:left="714" w:hanging="357"/>
        <w:jc w:val="both"/>
      </w:pPr>
      <w:r w:rsidRPr="0041380F">
        <w:rPr>
          <w:b/>
          <w:bCs/>
        </w:rPr>
        <w:t>Construction (Civil Engineering)</w:t>
      </w:r>
      <w:r w:rsidRPr="00F43EAE">
        <w:t xml:space="preserve"> is included as core</w:t>
      </w:r>
      <w:r>
        <w:t>-</w:t>
      </w:r>
      <w:r w:rsidRPr="00F43EAE">
        <w:t>supervisory, reflecting its relevance to project oversight, site management and technical coordination.</w:t>
      </w:r>
    </w:p>
    <w:p w14:paraId="40B2F975" w14:textId="1633605D" w:rsidR="00B97591" w:rsidRDefault="00B97591" w:rsidP="00AF6F14">
      <w:pPr>
        <w:spacing w:after="120" w:line="278" w:lineRule="auto"/>
        <w:jc w:val="both"/>
      </w:pPr>
      <w:r>
        <w:t xml:space="preserve">The estimated elasticity from the regression analysis suggests that a one percent increase in real apprenticeship funding is associated with an approximate </w:t>
      </w:r>
      <w:r>
        <w:rPr>
          <w:rStyle w:val="Strong"/>
        </w:rPr>
        <w:t>0.</w:t>
      </w:r>
      <w:r w:rsidR="00AF6F14">
        <w:rPr>
          <w:rStyle w:val="Strong"/>
        </w:rPr>
        <w:t>2</w:t>
      </w:r>
      <w:r>
        <w:rPr>
          <w:rStyle w:val="Strong"/>
        </w:rPr>
        <w:t>%</w:t>
      </w:r>
      <w:r>
        <w:t xml:space="preserve"> increase in apprenticeship starts. Applying this elasticity to projected funding in turn allows us to understand the scale of likely apprenticeship inflows into the retrofit-relevant workforce, which are then converted into completions using historic completions, while incorporating a time lag between starts and completions (to account for course length). </w:t>
      </w:r>
    </w:p>
    <w:p w14:paraId="203FADE4" w14:textId="6A5B8FFA" w:rsidR="00FC166B" w:rsidRDefault="00B97591" w:rsidP="00040457">
      <w:pPr>
        <w:spacing w:after="120" w:line="278" w:lineRule="auto"/>
        <w:jc w:val="both"/>
      </w:pPr>
      <w:r w:rsidRPr="00503651">
        <w:t xml:space="preserve">Completions are expected to reach a </w:t>
      </w:r>
      <w:r w:rsidR="007E5C23">
        <w:t>near</w:t>
      </w:r>
      <w:r w:rsidRPr="00503651">
        <w:t xml:space="preserve">-term peak in 2025/26, reflecting the </w:t>
      </w:r>
      <w:r>
        <w:t>elevated</w:t>
      </w:r>
      <w:r w:rsidRPr="00503651">
        <w:t xml:space="preserve"> volume of apprenticeship starts recorded in</w:t>
      </w:r>
      <w:r>
        <w:t xml:space="preserve"> 2022/23 and</w:t>
      </w:r>
      <w:r w:rsidRPr="00503651">
        <w:t xml:space="preserve"> 2023/24, a period in which Welsh Government allocations for apprenticeship provision rose sharply following </w:t>
      </w:r>
      <w:r>
        <w:t xml:space="preserve">the resolution of </w:t>
      </w:r>
      <w:r w:rsidRPr="00503651">
        <w:t>pandemic</w:t>
      </w:r>
      <w:r>
        <w:t xml:space="preserve">-era </w:t>
      </w:r>
      <w:r w:rsidRPr="00503651">
        <w:t xml:space="preserve">funding constraints. Beyond this peak, completions are projected to settle into a more stable pattern, moderating to </w:t>
      </w:r>
      <w:r w:rsidR="005B5BB8">
        <w:t>the 350 to 400</w:t>
      </w:r>
      <w:r w:rsidRPr="00503651">
        <w:t xml:space="preserve"> per year </w:t>
      </w:r>
      <w:r w:rsidR="005B5BB8">
        <w:t xml:space="preserve">range </w:t>
      </w:r>
      <w:r w:rsidRPr="00503651">
        <w:t>across the selected retrofit-relevant pathways over the remainder of the forecast horizon.</w:t>
      </w:r>
      <w:r>
        <w:t xml:space="preserve"> </w:t>
      </w:r>
    </w:p>
    <w:p w14:paraId="6493EE5B" w14:textId="3CAB5740" w:rsidR="00AF6F14" w:rsidRPr="00040457" w:rsidRDefault="00AF6F14" w:rsidP="00040457">
      <w:pPr>
        <w:spacing w:after="120" w:line="278" w:lineRule="auto"/>
        <w:jc w:val="both"/>
      </w:pPr>
      <w:r>
        <w:t>Data for apprenticeship completions under the alternate scenario of an increase in real apprenticeship funding by 2% per annum can be found in the Appendix</w:t>
      </w:r>
      <w:r w:rsidR="003A0706">
        <w:t xml:space="preserve"> D</w:t>
      </w:r>
      <w:r>
        <w:t xml:space="preserve">. </w:t>
      </w:r>
    </w:p>
    <w:p w14:paraId="2F68A15B" w14:textId="485C83F8" w:rsidR="00B97591" w:rsidRDefault="00B97591" w:rsidP="00B97591">
      <w:pPr>
        <w:pStyle w:val="Heading2"/>
        <w:spacing w:line="278" w:lineRule="auto"/>
      </w:pPr>
      <w:bookmarkStart w:id="28" w:name="_Toc221182663"/>
      <w:r>
        <w:t>Replacement demand</w:t>
      </w:r>
      <w:bookmarkEnd w:id="28"/>
    </w:p>
    <w:p w14:paraId="5C02DFE5" w14:textId="0BCA866E" w:rsidR="00B97591" w:rsidRPr="00CC3565" w:rsidRDefault="005B5BB8" w:rsidP="005B5BB8">
      <w:pPr>
        <w:pStyle w:val="Caption"/>
      </w:pPr>
      <w:r w:rsidRPr="005B5BB8">
        <w:rPr>
          <w:color w:val="6D6E71" w:themeColor="accent3"/>
          <w:sz w:val="18"/>
        </w:rPr>
        <w:t xml:space="preserve">Table </w:t>
      </w:r>
      <w:r w:rsidRPr="005B5BB8">
        <w:rPr>
          <w:color w:val="6D6E71" w:themeColor="accent3"/>
          <w:sz w:val="18"/>
        </w:rPr>
        <w:fldChar w:fldCharType="begin"/>
      </w:r>
      <w:r w:rsidRPr="005B5BB8">
        <w:rPr>
          <w:color w:val="6D6E71" w:themeColor="accent3"/>
          <w:sz w:val="18"/>
        </w:rPr>
        <w:instrText xml:space="preserve"> SEQ Table \* ARABIC </w:instrText>
      </w:r>
      <w:r w:rsidRPr="005B5BB8">
        <w:rPr>
          <w:color w:val="6D6E71" w:themeColor="accent3"/>
          <w:sz w:val="18"/>
        </w:rPr>
        <w:fldChar w:fldCharType="separate"/>
      </w:r>
      <w:r w:rsidR="004775B5">
        <w:rPr>
          <w:noProof/>
          <w:color w:val="6D6E71" w:themeColor="accent3"/>
          <w:sz w:val="18"/>
        </w:rPr>
        <w:t>10</w:t>
      </w:r>
      <w:r w:rsidRPr="005B5BB8">
        <w:rPr>
          <w:color w:val="6D6E71" w:themeColor="accent3"/>
          <w:sz w:val="18"/>
        </w:rPr>
        <w:fldChar w:fldCharType="end"/>
      </w:r>
      <w:r w:rsidRPr="005B5BB8">
        <w:rPr>
          <w:color w:val="6D6E71" w:themeColor="accent3"/>
          <w:sz w:val="18"/>
        </w:rPr>
        <w:t>:</w:t>
      </w:r>
      <w:r>
        <w:t xml:space="preserve"> </w:t>
      </w:r>
      <w:r w:rsidR="00B97591">
        <w:rPr>
          <w:color w:val="6D6E71" w:themeColor="accent3"/>
          <w:sz w:val="18"/>
        </w:rPr>
        <w:t>Replacement demand rates for core occupations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Caption w:val="Table 10: Replacement demand rates for core occupations"/>
        <w:tblDescription w:val="Table listing replacement demand rates for core retrofit occupations in Wales, showing SOC codes, occupation names, role category, and assumed annual replacement demand rates."/>
      </w:tblPr>
      <w:tblGrid>
        <w:gridCol w:w="846"/>
        <w:gridCol w:w="850"/>
        <w:gridCol w:w="4395"/>
        <w:gridCol w:w="1419"/>
        <w:gridCol w:w="1530"/>
      </w:tblGrid>
      <w:tr w:rsidR="00B97591" w:rsidRPr="00464179" w14:paraId="611E7A84" w14:textId="77777777">
        <w:trPr>
          <w:trHeight w:val="300"/>
        </w:trPr>
        <w:tc>
          <w:tcPr>
            <w:tcW w:w="468" w:type="pct"/>
            <w:shd w:val="clear" w:color="auto" w:fill="C4BC96" w:themeFill="background2" w:themeFillShade="BF"/>
            <w:noWrap/>
            <w:vAlign w:val="center"/>
            <w:hideMark/>
          </w:tcPr>
          <w:p w14:paraId="75544B1A" w14:textId="77777777" w:rsidR="00B97591" w:rsidRPr="00464179" w:rsidRDefault="00B97591">
            <w:pPr>
              <w:spacing w:after="0"/>
              <w:jc w:val="center"/>
              <w:rPr>
                <w:rFonts w:eastAsia="Times New Roman" w:cs="Calibri"/>
                <w:b/>
                <w:bCs/>
                <w:color w:val="000000"/>
                <w:sz w:val="20"/>
                <w:lang w:eastAsia="en-GB"/>
              </w:rPr>
            </w:pPr>
            <w:r w:rsidRPr="00464179">
              <w:rPr>
                <w:rFonts w:eastAsia="Times New Roman" w:cs="Calibri"/>
                <w:b/>
                <w:bCs/>
                <w:color w:val="000000"/>
                <w:sz w:val="20"/>
                <w:lang w:eastAsia="en-GB"/>
              </w:rPr>
              <w:t>2-Digit</w:t>
            </w:r>
          </w:p>
        </w:tc>
        <w:tc>
          <w:tcPr>
            <w:tcW w:w="470" w:type="pct"/>
            <w:shd w:val="clear" w:color="auto" w:fill="C4BC96" w:themeFill="background2" w:themeFillShade="BF"/>
            <w:noWrap/>
            <w:vAlign w:val="center"/>
            <w:hideMark/>
          </w:tcPr>
          <w:p w14:paraId="3DD20866" w14:textId="77777777" w:rsidR="00B97591" w:rsidRPr="00464179" w:rsidRDefault="00B97591">
            <w:pPr>
              <w:spacing w:after="0"/>
              <w:jc w:val="center"/>
              <w:rPr>
                <w:rFonts w:eastAsia="Times New Roman" w:cs="Calibri"/>
                <w:b/>
                <w:bCs/>
                <w:color w:val="000000"/>
                <w:sz w:val="20"/>
                <w:lang w:eastAsia="en-GB"/>
              </w:rPr>
            </w:pPr>
            <w:r w:rsidRPr="00464179">
              <w:rPr>
                <w:rFonts w:eastAsia="Times New Roman" w:cs="Calibri"/>
                <w:b/>
                <w:bCs/>
                <w:color w:val="000000"/>
                <w:sz w:val="20"/>
                <w:lang w:eastAsia="en-GB"/>
              </w:rPr>
              <w:t>4-Digit</w:t>
            </w:r>
          </w:p>
        </w:tc>
        <w:tc>
          <w:tcPr>
            <w:tcW w:w="2431" w:type="pct"/>
            <w:shd w:val="clear" w:color="auto" w:fill="C4BC96" w:themeFill="background2" w:themeFillShade="BF"/>
            <w:noWrap/>
            <w:vAlign w:val="center"/>
            <w:hideMark/>
          </w:tcPr>
          <w:p w14:paraId="3D9916E2" w14:textId="77777777" w:rsidR="00B97591" w:rsidRPr="00464179" w:rsidRDefault="00B97591">
            <w:pPr>
              <w:spacing w:after="0"/>
              <w:jc w:val="center"/>
              <w:rPr>
                <w:rFonts w:eastAsia="Times New Roman" w:cs="Calibri"/>
                <w:b/>
                <w:bCs/>
                <w:color w:val="000000"/>
                <w:sz w:val="20"/>
                <w:lang w:eastAsia="en-GB"/>
              </w:rPr>
            </w:pPr>
            <w:r w:rsidRPr="00464179">
              <w:rPr>
                <w:rFonts w:eastAsia="Times New Roman" w:cs="Calibri"/>
                <w:b/>
                <w:bCs/>
                <w:color w:val="000000"/>
                <w:sz w:val="20"/>
                <w:lang w:eastAsia="en-GB"/>
              </w:rPr>
              <w:t>Name</w:t>
            </w:r>
          </w:p>
        </w:tc>
        <w:tc>
          <w:tcPr>
            <w:tcW w:w="785" w:type="pct"/>
            <w:shd w:val="clear" w:color="auto" w:fill="C4BC96" w:themeFill="background2" w:themeFillShade="BF"/>
            <w:noWrap/>
            <w:vAlign w:val="center"/>
            <w:hideMark/>
          </w:tcPr>
          <w:p w14:paraId="350FB02C" w14:textId="77777777" w:rsidR="00B97591" w:rsidRPr="00464179" w:rsidRDefault="00B97591">
            <w:pPr>
              <w:spacing w:after="0"/>
              <w:jc w:val="center"/>
              <w:rPr>
                <w:rFonts w:eastAsia="Times New Roman" w:cs="Calibri"/>
                <w:b/>
                <w:bCs/>
                <w:color w:val="000000"/>
                <w:sz w:val="20"/>
                <w:lang w:eastAsia="en-GB"/>
              </w:rPr>
            </w:pPr>
            <w:r w:rsidRPr="00464179">
              <w:rPr>
                <w:rFonts w:eastAsia="Times New Roman" w:cs="Calibri"/>
                <w:b/>
                <w:bCs/>
                <w:color w:val="000000"/>
                <w:sz w:val="20"/>
                <w:lang w:eastAsia="en-GB"/>
              </w:rPr>
              <w:t>Category</w:t>
            </w:r>
          </w:p>
        </w:tc>
        <w:tc>
          <w:tcPr>
            <w:tcW w:w="846" w:type="pct"/>
            <w:shd w:val="clear" w:color="auto" w:fill="C4BC96" w:themeFill="background2" w:themeFillShade="BF"/>
            <w:noWrap/>
            <w:vAlign w:val="center"/>
            <w:hideMark/>
          </w:tcPr>
          <w:p w14:paraId="35E65A2F" w14:textId="77777777" w:rsidR="00B97591" w:rsidRPr="00464179" w:rsidRDefault="00B97591">
            <w:pPr>
              <w:spacing w:after="0"/>
              <w:jc w:val="center"/>
              <w:rPr>
                <w:rFonts w:eastAsia="Times New Roman" w:cs="Calibri"/>
                <w:b/>
                <w:bCs/>
                <w:color w:val="000000"/>
                <w:sz w:val="20"/>
                <w:lang w:eastAsia="en-GB"/>
              </w:rPr>
            </w:pPr>
            <w:r w:rsidRPr="00464179">
              <w:rPr>
                <w:rFonts w:eastAsia="Times New Roman" w:cs="Calibri"/>
                <w:b/>
                <w:bCs/>
                <w:color w:val="000000"/>
                <w:sz w:val="20"/>
                <w:lang w:eastAsia="en-GB"/>
              </w:rPr>
              <w:t>Replacement Demand Rate (per annum)</w:t>
            </w:r>
          </w:p>
        </w:tc>
      </w:tr>
      <w:tr w:rsidR="007E5C23" w:rsidRPr="00464179" w14:paraId="2A476A8F" w14:textId="77777777" w:rsidTr="007E5C23">
        <w:trPr>
          <w:trHeight w:val="460"/>
        </w:trPr>
        <w:tc>
          <w:tcPr>
            <w:tcW w:w="468" w:type="pct"/>
            <w:noWrap/>
            <w:vAlign w:val="center"/>
            <w:hideMark/>
          </w:tcPr>
          <w:p w14:paraId="694EF1B1"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52</w:t>
            </w:r>
          </w:p>
        </w:tc>
        <w:tc>
          <w:tcPr>
            <w:tcW w:w="470" w:type="pct"/>
            <w:noWrap/>
            <w:vAlign w:val="center"/>
            <w:hideMark/>
          </w:tcPr>
          <w:p w14:paraId="149B080B"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5241</w:t>
            </w:r>
          </w:p>
        </w:tc>
        <w:tc>
          <w:tcPr>
            <w:tcW w:w="2431" w:type="pct"/>
            <w:noWrap/>
            <w:vAlign w:val="center"/>
            <w:hideMark/>
          </w:tcPr>
          <w:p w14:paraId="1A904153"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Electricians and electrical fitters</w:t>
            </w:r>
          </w:p>
        </w:tc>
        <w:tc>
          <w:tcPr>
            <w:tcW w:w="785" w:type="pct"/>
            <w:vMerge w:val="restart"/>
            <w:shd w:val="clear" w:color="auto" w:fill="008C9B" w:themeFill="accent1"/>
            <w:vAlign w:val="center"/>
            <w:hideMark/>
          </w:tcPr>
          <w:p w14:paraId="2B26D0E4" w14:textId="77777777" w:rsidR="007E5C23" w:rsidRPr="00464179" w:rsidRDefault="007E5C23" w:rsidP="007E5C23">
            <w:pPr>
              <w:spacing w:after="0"/>
              <w:jc w:val="center"/>
              <w:rPr>
                <w:rFonts w:eastAsia="Times New Roman" w:cs="Calibri"/>
                <w:b/>
                <w:bCs/>
                <w:color w:val="000000"/>
                <w:sz w:val="20"/>
                <w:lang w:eastAsia="en-GB"/>
              </w:rPr>
            </w:pPr>
            <w:r w:rsidRPr="00464179">
              <w:rPr>
                <w:rFonts w:eastAsia="Times New Roman" w:cs="Calibri"/>
                <w:b/>
                <w:bCs/>
                <w:color w:val="FFFFFF" w:themeColor="background1"/>
                <w:sz w:val="20"/>
                <w:lang w:eastAsia="en-GB"/>
              </w:rPr>
              <w:t>Direct</w:t>
            </w:r>
          </w:p>
        </w:tc>
        <w:tc>
          <w:tcPr>
            <w:tcW w:w="846" w:type="pct"/>
            <w:tcBorders>
              <w:top w:val="single" w:sz="4" w:space="0" w:color="auto"/>
              <w:left w:val="single" w:sz="4" w:space="0" w:color="auto"/>
              <w:bottom w:val="single" w:sz="4" w:space="0" w:color="auto"/>
              <w:right w:val="single" w:sz="4" w:space="0" w:color="auto"/>
            </w:tcBorders>
            <w:noWrap/>
            <w:vAlign w:val="center"/>
            <w:hideMark/>
          </w:tcPr>
          <w:p w14:paraId="0B28761A" w14:textId="2F8D519A"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2.0%</w:t>
            </w:r>
          </w:p>
        </w:tc>
      </w:tr>
      <w:tr w:rsidR="007E5C23" w:rsidRPr="00464179" w14:paraId="61AF4B8C" w14:textId="77777777" w:rsidTr="007E5C23">
        <w:trPr>
          <w:trHeight w:val="460"/>
        </w:trPr>
        <w:tc>
          <w:tcPr>
            <w:tcW w:w="468" w:type="pct"/>
            <w:noWrap/>
            <w:vAlign w:val="center"/>
            <w:hideMark/>
          </w:tcPr>
          <w:p w14:paraId="10CFC2C0"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w:t>
            </w:r>
          </w:p>
        </w:tc>
        <w:tc>
          <w:tcPr>
            <w:tcW w:w="470" w:type="pct"/>
            <w:noWrap/>
            <w:vAlign w:val="center"/>
            <w:hideMark/>
          </w:tcPr>
          <w:p w14:paraId="0D6EE837"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5314</w:t>
            </w:r>
          </w:p>
        </w:tc>
        <w:tc>
          <w:tcPr>
            <w:tcW w:w="2431" w:type="pct"/>
            <w:noWrap/>
            <w:vAlign w:val="center"/>
            <w:hideMark/>
          </w:tcPr>
          <w:p w14:paraId="72CF3CC0"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Roofers, roof tilers and slaters</w:t>
            </w:r>
          </w:p>
        </w:tc>
        <w:tc>
          <w:tcPr>
            <w:tcW w:w="785" w:type="pct"/>
            <w:vMerge/>
            <w:shd w:val="clear" w:color="auto" w:fill="008C9B" w:themeFill="accent1"/>
            <w:vAlign w:val="center"/>
            <w:hideMark/>
          </w:tcPr>
          <w:p w14:paraId="135A897D"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13593E14" w14:textId="66BFFBD6"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2.3%</w:t>
            </w:r>
          </w:p>
        </w:tc>
      </w:tr>
      <w:tr w:rsidR="007E5C23" w:rsidRPr="00464179" w14:paraId="24185992" w14:textId="77777777" w:rsidTr="007E5C23">
        <w:trPr>
          <w:trHeight w:val="460"/>
        </w:trPr>
        <w:tc>
          <w:tcPr>
            <w:tcW w:w="468" w:type="pct"/>
            <w:noWrap/>
            <w:vAlign w:val="center"/>
            <w:hideMark/>
          </w:tcPr>
          <w:p w14:paraId="1CF2223D"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w:t>
            </w:r>
          </w:p>
        </w:tc>
        <w:tc>
          <w:tcPr>
            <w:tcW w:w="470" w:type="pct"/>
            <w:noWrap/>
            <w:vAlign w:val="center"/>
            <w:hideMark/>
          </w:tcPr>
          <w:p w14:paraId="1018329D"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5315</w:t>
            </w:r>
          </w:p>
        </w:tc>
        <w:tc>
          <w:tcPr>
            <w:tcW w:w="2431" w:type="pct"/>
            <w:noWrap/>
            <w:vAlign w:val="center"/>
            <w:hideMark/>
          </w:tcPr>
          <w:p w14:paraId="0B5A6A36"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Plumbers &amp; heating and ventilating installers and repairers</w:t>
            </w:r>
          </w:p>
        </w:tc>
        <w:tc>
          <w:tcPr>
            <w:tcW w:w="785" w:type="pct"/>
            <w:vMerge/>
            <w:shd w:val="clear" w:color="auto" w:fill="008C9B" w:themeFill="accent1"/>
            <w:vAlign w:val="center"/>
            <w:hideMark/>
          </w:tcPr>
          <w:p w14:paraId="26A93D6F"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45A69E6B" w14:textId="5513A446"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2.3%</w:t>
            </w:r>
          </w:p>
        </w:tc>
      </w:tr>
      <w:tr w:rsidR="007E5C23" w:rsidRPr="00464179" w14:paraId="6910E4C5" w14:textId="77777777" w:rsidTr="007E5C23">
        <w:trPr>
          <w:trHeight w:val="460"/>
        </w:trPr>
        <w:tc>
          <w:tcPr>
            <w:tcW w:w="468" w:type="pct"/>
            <w:noWrap/>
            <w:vAlign w:val="center"/>
            <w:hideMark/>
          </w:tcPr>
          <w:p w14:paraId="553102B1"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w:t>
            </w:r>
          </w:p>
        </w:tc>
        <w:tc>
          <w:tcPr>
            <w:tcW w:w="470" w:type="pct"/>
            <w:noWrap/>
            <w:vAlign w:val="center"/>
            <w:hideMark/>
          </w:tcPr>
          <w:p w14:paraId="5441132C"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5317</w:t>
            </w:r>
          </w:p>
        </w:tc>
        <w:tc>
          <w:tcPr>
            <w:tcW w:w="2431" w:type="pct"/>
            <w:noWrap/>
            <w:vAlign w:val="center"/>
            <w:hideMark/>
          </w:tcPr>
          <w:p w14:paraId="5F8954C7"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Glaziers, window fabricators and fitters</w:t>
            </w:r>
          </w:p>
        </w:tc>
        <w:tc>
          <w:tcPr>
            <w:tcW w:w="785" w:type="pct"/>
            <w:vMerge/>
            <w:shd w:val="clear" w:color="auto" w:fill="008C9B" w:themeFill="accent1"/>
            <w:vAlign w:val="center"/>
            <w:hideMark/>
          </w:tcPr>
          <w:p w14:paraId="32862F4F"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60D1BB72" w14:textId="10A85700"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2.3%</w:t>
            </w:r>
          </w:p>
        </w:tc>
      </w:tr>
      <w:tr w:rsidR="007E5C23" w:rsidRPr="00464179" w14:paraId="3AE599D9" w14:textId="77777777" w:rsidTr="007E5C23">
        <w:trPr>
          <w:trHeight w:val="460"/>
        </w:trPr>
        <w:tc>
          <w:tcPr>
            <w:tcW w:w="468" w:type="pct"/>
            <w:noWrap/>
            <w:vAlign w:val="center"/>
            <w:hideMark/>
          </w:tcPr>
          <w:p w14:paraId="48254A09"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w:t>
            </w:r>
          </w:p>
        </w:tc>
        <w:tc>
          <w:tcPr>
            <w:tcW w:w="470" w:type="pct"/>
            <w:noWrap/>
            <w:vAlign w:val="center"/>
            <w:hideMark/>
          </w:tcPr>
          <w:p w14:paraId="59960765"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5319</w:t>
            </w:r>
          </w:p>
        </w:tc>
        <w:tc>
          <w:tcPr>
            <w:tcW w:w="2431" w:type="pct"/>
            <w:noWrap/>
            <w:vAlign w:val="center"/>
            <w:hideMark/>
          </w:tcPr>
          <w:p w14:paraId="6BA69C82"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Construction and building trades n.e.c.</w:t>
            </w:r>
          </w:p>
        </w:tc>
        <w:tc>
          <w:tcPr>
            <w:tcW w:w="785" w:type="pct"/>
            <w:vMerge/>
            <w:shd w:val="clear" w:color="auto" w:fill="008C9B" w:themeFill="accent1"/>
            <w:vAlign w:val="center"/>
            <w:hideMark/>
          </w:tcPr>
          <w:p w14:paraId="71CF19DD"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31203031" w14:textId="1A86C406"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2.3%</w:t>
            </w:r>
          </w:p>
        </w:tc>
      </w:tr>
      <w:tr w:rsidR="007E5C23" w:rsidRPr="00464179" w14:paraId="295DE112" w14:textId="77777777" w:rsidTr="007E5C23">
        <w:trPr>
          <w:trHeight w:val="460"/>
        </w:trPr>
        <w:tc>
          <w:tcPr>
            <w:tcW w:w="468" w:type="pct"/>
            <w:noWrap/>
            <w:vAlign w:val="center"/>
            <w:hideMark/>
          </w:tcPr>
          <w:p w14:paraId="154BEFB4"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w:t>
            </w:r>
          </w:p>
        </w:tc>
        <w:tc>
          <w:tcPr>
            <w:tcW w:w="470" w:type="pct"/>
            <w:noWrap/>
            <w:vAlign w:val="center"/>
            <w:hideMark/>
          </w:tcPr>
          <w:p w14:paraId="1D378603"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5313</w:t>
            </w:r>
          </w:p>
        </w:tc>
        <w:tc>
          <w:tcPr>
            <w:tcW w:w="2431" w:type="pct"/>
            <w:noWrap/>
            <w:vAlign w:val="center"/>
            <w:hideMark/>
          </w:tcPr>
          <w:p w14:paraId="761CEEB6"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Bricklayers</w:t>
            </w:r>
          </w:p>
        </w:tc>
        <w:tc>
          <w:tcPr>
            <w:tcW w:w="785" w:type="pct"/>
            <w:vMerge w:val="restart"/>
            <w:shd w:val="clear" w:color="auto" w:fill="2AEAFF" w:themeFill="text2" w:themeFillTint="99"/>
            <w:noWrap/>
            <w:vAlign w:val="center"/>
            <w:hideMark/>
          </w:tcPr>
          <w:p w14:paraId="4EFEC336" w14:textId="77777777" w:rsidR="007E5C23" w:rsidRPr="00464179" w:rsidRDefault="007E5C23" w:rsidP="007E5C23">
            <w:pPr>
              <w:spacing w:after="0"/>
              <w:jc w:val="center"/>
              <w:rPr>
                <w:rFonts w:eastAsia="Times New Roman" w:cs="Calibri"/>
                <w:b/>
                <w:bCs/>
                <w:color w:val="000000"/>
                <w:sz w:val="20"/>
                <w:lang w:eastAsia="en-GB"/>
              </w:rPr>
            </w:pPr>
            <w:r w:rsidRPr="00464179">
              <w:rPr>
                <w:rFonts w:eastAsia="Times New Roman" w:cs="Calibri"/>
                <w:b/>
                <w:bCs/>
                <w:color w:val="000000" w:themeColor="text1"/>
                <w:sz w:val="20"/>
                <w:lang w:eastAsia="en-GB"/>
              </w:rPr>
              <w:t>Support</w:t>
            </w:r>
          </w:p>
        </w:tc>
        <w:tc>
          <w:tcPr>
            <w:tcW w:w="846" w:type="pct"/>
            <w:tcBorders>
              <w:top w:val="nil"/>
              <w:left w:val="single" w:sz="4" w:space="0" w:color="auto"/>
              <w:bottom w:val="single" w:sz="4" w:space="0" w:color="auto"/>
              <w:right w:val="single" w:sz="4" w:space="0" w:color="auto"/>
            </w:tcBorders>
            <w:noWrap/>
            <w:vAlign w:val="center"/>
            <w:hideMark/>
          </w:tcPr>
          <w:p w14:paraId="1E93DBA4" w14:textId="04FC98ED"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2.3%</w:t>
            </w:r>
          </w:p>
        </w:tc>
      </w:tr>
      <w:tr w:rsidR="007E5C23" w:rsidRPr="00464179" w14:paraId="7E1E660E" w14:textId="77777777" w:rsidTr="007E5C23">
        <w:trPr>
          <w:trHeight w:val="460"/>
        </w:trPr>
        <w:tc>
          <w:tcPr>
            <w:tcW w:w="468" w:type="pct"/>
            <w:noWrap/>
            <w:vAlign w:val="center"/>
            <w:hideMark/>
          </w:tcPr>
          <w:p w14:paraId="119035C0"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w:t>
            </w:r>
          </w:p>
        </w:tc>
        <w:tc>
          <w:tcPr>
            <w:tcW w:w="470" w:type="pct"/>
            <w:noWrap/>
            <w:vAlign w:val="center"/>
            <w:hideMark/>
          </w:tcPr>
          <w:p w14:paraId="646AC1CB"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5316</w:t>
            </w:r>
          </w:p>
        </w:tc>
        <w:tc>
          <w:tcPr>
            <w:tcW w:w="2431" w:type="pct"/>
            <w:noWrap/>
            <w:vAlign w:val="center"/>
            <w:hideMark/>
          </w:tcPr>
          <w:p w14:paraId="6E9967AD"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Carpenters and joiners</w:t>
            </w:r>
          </w:p>
        </w:tc>
        <w:tc>
          <w:tcPr>
            <w:tcW w:w="785" w:type="pct"/>
            <w:vMerge/>
            <w:shd w:val="clear" w:color="auto" w:fill="2AEAFF" w:themeFill="text2" w:themeFillTint="99"/>
            <w:vAlign w:val="center"/>
            <w:hideMark/>
          </w:tcPr>
          <w:p w14:paraId="0E2B5D60"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30A9D35D" w14:textId="74C91023"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2.3%</w:t>
            </w:r>
          </w:p>
        </w:tc>
      </w:tr>
      <w:tr w:rsidR="007E5C23" w:rsidRPr="00464179" w14:paraId="7AED59AA" w14:textId="77777777" w:rsidTr="007E5C23">
        <w:trPr>
          <w:trHeight w:val="460"/>
        </w:trPr>
        <w:tc>
          <w:tcPr>
            <w:tcW w:w="468" w:type="pct"/>
            <w:noWrap/>
            <w:vAlign w:val="center"/>
            <w:hideMark/>
          </w:tcPr>
          <w:p w14:paraId="6F3E2E07"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w:t>
            </w:r>
          </w:p>
        </w:tc>
        <w:tc>
          <w:tcPr>
            <w:tcW w:w="470" w:type="pct"/>
            <w:noWrap/>
            <w:vAlign w:val="center"/>
            <w:hideMark/>
          </w:tcPr>
          <w:p w14:paraId="3F78C7FE"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5321</w:t>
            </w:r>
          </w:p>
        </w:tc>
        <w:tc>
          <w:tcPr>
            <w:tcW w:w="2431" w:type="pct"/>
            <w:noWrap/>
            <w:vAlign w:val="center"/>
            <w:hideMark/>
          </w:tcPr>
          <w:p w14:paraId="179D2215"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Plasterers</w:t>
            </w:r>
          </w:p>
        </w:tc>
        <w:tc>
          <w:tcPr>
            <w:tcW w:w="785" w:type="pct"/>
            <w:vMerge/>
            <w:shd w:val="clear" w:color="auto" w:fill="2AEAFF" w:themeFill="text2" w:themeFillTint="99"/>
            <w:vAlign w:val="center"/>
            <w:hideMark/>
          </w:tcPr>
          <w:p w14:paraId="02314C0F"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383F996A" w14:textId="3775ED58"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2.3%</w:t>
            </w:r>
          </w:p>
        </w:tc>
      </w:tr>
      <w:tr w:rsidR="007E5C23" w:rsidRPr="00464179" w14:paraId="624327A3" w14:textId="77777777" w:rsidTr="007E5C23">
        <w:trPr>
          <w:trHeight w:val="460"/>
        </w:trPr>
        <w:tc>
          <w:tcPr>
            <w:tcW w:w="468" w:type="pct"/>
            <w:noWrap/>
            <w:vAlign w:val="center"/>
            <w:hideMark/>
          </w:tcPr>
          <w:p w14:paraId="7E95BDA6"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w:t>
            </w:r>
          </w:p>
        </w:tc>
        <w:tc>
          <w:tcPr>
            <w:tcW w:w="470" w:type="pct"/>
            <w:noWrap/>
            <w:vAlign w:val="center"/>
            <w:hideMark/>
          </w:tcPr>
          <w:p w14:paraId="519982EA"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5322</w:t>
            </w:r>
          </w:p>
        </w:tc>
        <w:tc>
          <w:tcPr>
            <w:tcW w:w="2431" w:type="pct"/>
            <w:noWrap/>
            <w:vAlign w:val="center"/>
            <w:hideMark/>
          </w:tcPr>
          <w:p w14:paraId="09401D5C"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Floorers and wall tilers</w:t>
            </w:r>
          </w:p>
        </w:tc>
        <w:tc>
          <w:tcPr>
            <w:tcW w:w="785" w:type="pct"/>
            <w:vMerge/>
            <w:shd w:val="clear" w:color="auto" w:fill="2AEAFF" w:themeFill="text2" w:themeFillTint="99"/>
            <w:vAlign w:val="center"/>
            <w:hideMark/>
          </w:tcPr>
          <w:p w14:paraId="7BB2F76F"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1BCB5330" w14:textId="3F7311C7"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2.3%</w:t>
            </w:r>
          </w:p>
        </w:tc>
      </w:tr>
      <w:tr w:rsidR="007E5C23" w:rsidRPr="00464179" w14:paraId="4A9D0B3F" w14:textId="77777777" w:rsidTr="007E5C23">
        <w:trPr>
          <w:trHeight w:val="460"/>
        </w:trPr>
        <w:tc>
          <w:tcPr>
            <w:tcW w:w="468" w:type="pct"/>
            <w:noWrap/>
            <w:vAlign w:val="center"/>
            <w:hideMark/>
          </w:tcPr>
          <w:p w14:paraId="455471D4"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w:t>
            </w:r>
          </w:p>
        </w:tc>
        <w:tc>
          <w:tcPr>
            <w:tcW w:w="470" w:type="pct"/>
            <w:noWrap/>
            <w:vAlign w:val="center"/>
            <w:hideMark/>
          </w:tcPr>
          <w:p w14:paraId="539FB525"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5323</w:t>
            </w:r>
          </w:p>
        </w:tc>
        <w:tc>
          <w:tcPr>
            <w:tcW w:w="2431" w:type="pct"/>
            <w:noWrap/>
            <w:vAlign w:val="center"/>
            <w:hideMark/>
          </w:tcPr>
          <w:p w14:paraId="30F53232"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Painters and decorators</w:t>
            </w:r>
          </w:p>
        </w:tc>
        <w:tc>
          <w:tcPr>
            <w:tcW w:w="785" w:type="pct"/>
            <w:vMerge/>
            <w:shd w:val="clear" w:color="auto" w:fill="2AEAFF" w:themeFill="text2" w:themeFillTint="99"/>
            <w:vAlign w:val="center"/>
            <w:hideMark/>
          </w:tcPr>
          <w:p w14:paraId="49937544"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39068805" w14:textId="41817039"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2.3%</w:t>
            </w:r>
          </w:p>
        </w:tc>
      </w:tr>
      <w:tr w:rsidR="007E5C23" w:rsidRPr="00464179" w14:paraId="4D28C56C" w14:textId="77777777" w:rsidTr="007E5C23">
        <w:trPr>
          <w:trHeight w:val="460"/>
        </w:trPr>
        <w:tc>
          <w:tcPr>
            <w:tcW w:w="468" w:type="pct"/>
            <w:noWrap/>
            <w:vAlign w:val="center"/>
            <w:hideMark/>
          </w:tcPr>
          <w:p w14:paraId="05C54B27"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91</w:t>
            </w:r>
          </w:p>
        </w:tc>
        <w:tc>
          <w:tcPr>
            <w:tcW w:w="470" w:type="pct"/>
            <w:noWrap/>
            <w:vAlign w:val="center"/>
            <w:hideMark/>
          </w:tcPr>
          <w:p w14:paraId="7CE0D3C8"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9129</w:t>
            </w:r>
          </w:p>
        </w:tc>
        <w:tc>
          <w:tcPr>
            <w:tcW w:w="2431" w:type="pct"/>
            <w:noWrap/>
            <w:vAlign w:val="center"/>
            <w:hideMark/>
          </w:tcPr>
          <w:p w14:paraId="58299DD6"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Elementary construction operatives n.e.c.</w:t>
            </w:r>
          </w:p>
        </w:tc>
        <w:tc>
          <w:tcPr>
            <w:tcW w:w="785" w:type="pct"/>
            <w:vMerge/>
            <w:shd w:val="clear" w:color="auto" w:fill="2AEAFF" w:themeFill="text2" w:themeFillTint="99"/>
            <w:vAlign w:val="center"/>
            <w:hideMark/>
          </w:tcPr>
          <w:p w14:paraId="4F98F016"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393F5190" w14:textId="2EA55E4C"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1.9%</w:t>
            </w:r>
          </w:p>
        </w:tc>
      </w:tr>
      <w:tr w:rsidR="007E5C23" w:rsidRPr="00464179" w14:paraId="453125EA" w14:textId="77777777" w:rsidTr="007E5C23">
        <w:trPr>
          <w:trHeight w:val="460"/>
        </w:trPr>
        <w:tc>
          <w:tcPr>
            <w:tcW w:w="468" w:type="pct"/>
            <w:noWrap/>
            <w:vAlign w:val="center"/>
            <w:hideMark/>
          </w:tcPr>
          <w:p w14:paraId="302A9E58"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21</w:t>
            </w:r>
          </w:p>
        </w:tc>
        <w:tc>
          <w:tcPr>
            <w:tcW w:w="470" w:type="pct"/>
            <w:noWrap/>
            <w:vAlign w:val="center"/>
            <w:hideMark/>
          </w:tcPr>
          <w:p w14:paraId="6E097533"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2121</w:t>
            </w:r>
          </w:p>
        </w:tc>
        <w:tc>
          <w:tcPr>
            <w:tcW w:w="2431" w:type="pct"/>
            <w:noWrap/>
            <w:vAlign w:val="center"/>
            <w:hideMark/>
          </w:tcPr>
          <w:p w14:paraId="7BE2208E"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Civil Engineers</w:t>
            </w:r>
          </w:p>
        </w:tc>
        <w:tc>
          <w:tcPr>
            <w:tcW w:w="785" w:type="pct"/>
            <w:vMerge w:val="restart"/>
            <w:shd w:val="clear" w:color="auto" w:fill="B8F8FF" w:themeFill="text2" w:themeFillTint="33"/>
            <w:vAlign w:val="center"/>
            <w:hideMark/>
          </w:tcPr>
          <w:p w14:paraId="2D07F1AE" w14:textId="77777777" w:rsidR="007E5C23" w:rsidRPr="00464179" w:rsidRDefault="007E5C23" w:rsidP="007E5C23">
            <w:pPr>
              <w:spacing w:after="0"/>
              <w:jc w:val="center"/>
              <w:rPr>
                <w:rFonts w:eastAsia="Times New Roman" w:cs="Calibri"/>
                <w:b/>
                <w:bCs/>
                <w:color w:val="000000"/>
                <w:sz w:val="20"/>
                <w:lang w:eastAsia="en-GB"/>
              </w:rPr>
            </w:pPr>
            <w:r w:rsidRPr="00464179">
              <w:rPr>
                <w:rFonts w:eastAsia="Times New Roman" w:cs="Calibri"/>
                <w:b/>
                <w:bCs/>
                <w:color w:val="000000"/>
                <w:sz w:val="20"/>
                <w:lang w:eastAsia="en-GB"/>
              </w:rPr>
              <w:t>Supervisory</w:t>
            </w:r>
          </w:p>
        </w:tc>
        <w:tc>
          <w:tcPr>
            <w:tcW w:w="846" w:type="pct"/>
            <w:tcBorders>
              <w:top w:val="nil"/>
              <w:left w:val="single" w:sz="4" w:space="0" w:color="auto"/>
              <w:bottom w:val="single" w:sz="4" w:space="0" w:color="auto"/>
              <w:right w:val="single" w:sz="4" w:space="0" w:color="auto"/>
            </w:tcBorders>
            <w:noWrap/>
            <w:vAlign w:val="center"/>
            <w:hideMark/>
          </w:tcPr>
          <w:p w14:paraId="24CF7110" w14:textId="634E2EEC"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2.3%</w:t>
            </w:r>
          </w:p>
        </w:tc>
      </w:tr>
      <w:tr w:rsidR="007E5C23" w:rsidRPr="00464179" w14:paraId="51C624B3" w14:textId="77777777" w:rsidTr="007E5C23">
        <w:trPr>
          <w:trHeight w:val="460"/>
        </w:trPr>
        <w:tc>
          <w:tcPr>
            <w:tcW w:w="468" w:type="pct"/>
            <w:noWrap/>
            <w:vAlign w:val="center"/>
            <w:hideMark/>
          </w:tcPr>
          <w:p w14:paraId="09885734"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21</w:t>
            </w:r>
          </w:p>
        </w:tc>
        <w:tc>
          <w:tcPr>
            <w:tcW w:w="470" w:type="pct"/>
            <w:noWrap/>
            <w:vAlign w:val="center"/>
            <w:hideMark/>
          </w:tcPr>
          <w:p w14:paraId="4E862D86"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2123</w:t>
            </w:r>
          </w:p>
        </w:tc>
        <w:tc>
          <w:tcPr>
            <w:tcW w:w="2431" w:type="pct"/>
            <w:noWrap/>
            <w:vAlign w:val="center"/>
            <w:hideMark/>
          </w:tcPr>
          <w:p w14:paraId="0C8D3A09"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Electrical engineers</w:t>
            </w:r>
          </w:p>
        </w:tc>
        <w:tc>
          <w:tcPr>
            <w:tcW w:w="785" w:type="pct"/>
            <w:vMerge/>
            <w:shd w:val="clear" w:color="auto" w:fill="B8F8FF" w:themeFill="text2" w:themeFillTint="33"/>
            <w:vAlign w:val="center"/>
            <w:hideMark/>
          </w:tcPr>
          <w:p w14:paraId="20F82245"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6A4770FA" w14:textId="2A1FA46C"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2.3%</w:t>
            </w:r>
          </w:p>
        </w:tc>
      </w:tr>
      <w:tr w:rsidR="007E5C23" w:rsidRPr="00464179" w14:paraId="4E7C730B" w14:textId="77777777" w:rsidTr="007E5C23">
        <w:trPr>
          <w:trHeight w:val="460"/>
        </w:trPr>
        <w:tc>
          <w:tcPr>
            <w:tcW w:w="468" w:type="pct"/>
            <w:noWrap/>
            <w:vAlign w:val="center"/>
            <w:hideMark/>
          </w:tcPr>
          <w:p w14:paraId="397AC6DD"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lastRenderedPageBreak/>
              <w:t>21</w:t>
            </w:r>
          </w:p>
        </w:tc>
        <w:tc>
          <w:tcPr>
            <w:tcW w:w="470" w:type="pct"/>
            <w:noWrap/>
            <w:vAlign w:val="center"/>
            <w:hideMark/>
          </w:tcPr>
          <w:p w14:paraId="362BCBFA"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2127</w:t>
            </w:r>
          </w:p>
        </w:tc>
        <w:tc>
          <w:tcPr>
            <w:tcW w:w="2431" w:type="pct"/>
            <w:noWrap/>
            <w:vAlign w:val="center"/>
            <w:hideMark/>
          </w:tcPr>
          <w:p w14:paraId="493CF86E"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Engineering project managers and project engineers</w:t>
            </w:r>
          </w:p>
        </w:tc>
        <w:tc>
          <w:tcPr>
            <w:tcW w:w="785" w:type="pct"/>
            <w:vMerge/>
            <w:shd w:val="clear" w:color="auto" w:fill="B8F8FF" w:themeFill="text2" w:themeFillTint="33"/>
            <w:vAlign w:val="center"/>
            <w:hideMark/>
          </w:tcPr>
          <w:p w14:paraId="43138028"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5E286375" w14:textId="0F424F0D"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2.3%</w:t>
            </w:r>
          </w:p>
        </w:tc>
      </w:tr>
      <w:tr w:rsidR="007E5C23" w:rsidRPr="00464179" w14:paraId="5214B6D1" w14:textId="77777777" w:rsidTr="007E5C23">
        <w:trPr>
          <w:trHeight w:val="460"/>
        </w:trPr>
        <w:tc>
          <w:tcPr>
            <w:tcW w:w="468" w:type="pct"/>
            <w:noWrap/>
            <w:vAlign w:val="center"/>
            <w:hideMark/>
          </w:tcPr>
          <w:p w14:paraId="17564A49"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21</w:t>
            </w:r>
          </w:p>
        </w:tc>
        <w:tc>
          <w:tcPr>
            <w:tcW w:w="470" w:type="pct"/>
            <w:noWrap/>
            <w:vAlign w:val="center"/>
            <w:hideMark/>
          </w:tcPr>
          <w:p w14:paraId="646C8B77"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2129</w:t>
            </w:r>
          </w:p>
        </w:tc>
        <w:tc>
          <w:tcPr>
            <w:tcW w:w="2431" w:type="pct"/>
            <w:noWrap/>
            <w:vAlign w:val="center"/>
            <w:hideMark/>
          </w:tcPr>
          <w:p w14:paraId="332F2FDE"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Engineering professionals n.e.c.</w:t>
            </w:r>
          </w:p>
        </w:tc>
        <w:tc>
          <w:tcPr>
            <w:tcW w:w="785" w:type="pct"/>
            <w:vMerge/>
            <w:shd w:val="clear" w:color="auto" w:fill="B8F8FF" w:themeFill="text2" w:themeFillTint="33"/>
            <w:vAlign w:val="center"/>
            <w:hideMark/>
          </w:tcPr>
          <w:p w14:paraId="344C371C"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6AEAF061" w14:textId="7DBE1C11"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2.3%</w:t>
            </w:r>
          </w:p>
        </w:tc>
      </w:tr>
      <w:tr w:rsidR="007E5C23" w:rsidRPr="00464179" w14:paraId="1CFC4F48" w14:textId="77777777" w:rsidTr="007E5C23">
        <w:trPr>
          <w:trHeight w:val="460"/>
        </w:trPr>
        <w:tc>
          <w:tcPr>
            <w:tcW w:w="468" w:type="pct"/>
            <w:noWrap/>
            <w:vAlign w:val="center"/>
            <w:hideMark/>
          </w:tcPr>
          <w:p w14:paraId="7FB65A3F"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24</w:t>
            </w:r>
          </w:p>
        </w:tc>
        <w:tc>
          <w:tcPr>
            <w:tcW w:w="470" w:type="pct"/>
            <w:noWrap/>
            <w:vAlign w:val="center"/>
            <w:hideMark/>
          </w:tcPr>
          <w:p w14:paraId="11B1196D"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2455</w:t>
            </w:r>
          </w:p>
        </w:tc>
        <w:tc>
          <w:tcPr>
            <w:tcW w:w="2431" w:type="pct"/>
            <w:noWrap/>
            <w:vAlign w:val="center"/>
            <w:hideMark/>
          </w:tcPr>
          <w:p w14:paraId="52292BDC"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Construction project managers and related professionals</w:t>
            </w:r>
          </w:p>
        </w:tc>
        <w:tc>
          <w:tcPr>
            <w:tcW w:w="785" w:type="pct"/>
            <w:vMerge/>
            <w:shd w:val="clear" w:color="auto" w:fill="B8F8FF" w:themeFill="text2" w:themeFillTint="33"/>
            <w:vAlign w:val="center"/>
            <w:hideMark/>
          </w:tcPr>
          <w:p w14:paraId="108478C8"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451A4CAD" w14:textId="34265944"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3.0%</w:t>
            </w:r>
          </w:p>
        </w:tc>
      </w:tr>
      <w:tr w:rsidR="007E5C23" w:rsidRPr="00464179" w14:paraId="7E5FAD51" w14:textId="77777777" w:rsidTr="007E5C23">
        <w:trPr>
          <w:trHeight w:val="460"/>
        </w:trPr>
        <w:tc>
          <w:tcPr>
            <w:tcW w:w="468" w:type="pct"/>
            <w:noWrap/>
            <w:vAlign w:val="center"/>
            <w:hideMark/>
          </w:tcPr>
          <w:p w14:paraId="167A4D1C"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31</w:t>
            </w:r>
          </w:p>
        </w:tc>
        <w:tc>
          <w:tcPr>
            <w:tcW w:w="470" w:type="pct"/>
            <w:noWrap/>
            <w:vAlign w:val="center"/>
            <w:hideMark/>
          </w:tcPr>
          <w:p w14:paraId="6CECD761"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3114</w:t>
            </w:r>
          </w:p>
        </w:tc>
        <w:tc>
          <w:tcPr>
            <w:tcW w:w="2431" w:type="pct"/>
            <w:noWrap/>
            <w:vAlign w:val="center"/>
            <w:hideMark/>
          </w:tcPr>
          <w:p w14:paraId="550F8485"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Building and civil engineering technicians</w:t>
            </w:r>
          </w:p>
        </w:tc>
        <w:tc>
          <w:tcPr>
            <w:tcW w:w="785" w:type="pct"/>
            <w:vMerge/>
            <w:shd w:val="clear" w:color="auto" w:fill="B8F8FF" w:themeFill="text2" w:themeFillTint="33"/>
            <w:vAlign w:val="center"/>
            <w:hideMark/>
          </w:tcPr>
          <w:p w14:paraId="4F5BCBE4"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0FA9C10C" w14:textId="069C56DF"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2.1%</w:t>
            </w:r>
          </w:p>
        </w:tc>
      </w:tr>
      <w:tr w:rsidR="007E5C23" w:rsidRPr="00464179" w14:paraId="08DC09DE" w14:textId="77777777" w:rsidTr="007E5C23">
        <w:trPr>
          <w:trHeight w:val="460"/>
        </w:trPr>
        <w:tc>
          <w:tcPr>
            <w:tcW w:w="468" w:type="pct"/>
            <w:noWrap/>
            <w:vAlign w:val="center"/>
            <w:hideMark/>
          </w:tcPr>
          <w:p w14:paraId="3788F2F7"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35</w:t>
            </w:r>
          </w:p>
        </w:tc>
        <w:tc>
          <w:tcPr>
            <w:tcW w:w="470" w:type="pct"/>
            <w:noWrap/>
            <w:vAlign w:val="center"/>
            <w:hideMark/>
          </w:tcPr>
          <w:p w14:paraId="1BDDAEFF"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3582</w:t>
            </w:r>
          </w:p>
        </w:tc>
        <w:tc>
          <w:tcPr>
            <w:tcW w:w="2431" w:type="pct"/>
            <w:noWrap/>
            <w:vAlign w:val="center"/>
            <w:hideMark/>
          </w:tcPr>
          <w:p w14:paraId="228F2822"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Health and safety managers and officers</w:t>
            </w:r>
          </w:p>
        </w:tc>
        <w:tc>
          <w:tcPr>
            <w:tcW w:w="785" w:type="pct"/>
            <w:vMerge/>
            <w:shd w:val="clear" w:color="auto" w:fill="B8F8FF" w:themeFill="text2" w:themeFillTint="33"/>
            <w:vAlign w:val="center"/>
            <w:hideMark/>
          </w:tcPr>
          <w:p w14:paraId="69035C5E"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40FB6EF2" w14:textId="1AB44C06"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2.5%</w:t>
            </w:r>
          </w:p>
        </w:tc>
      </w:tr>
      <w:tr w:rsidR="007E5C23" w:rsidRPr="00464179" w14:paraId="63826BCC" w14:textId="77777777" w:rsidTr="007E5C23">
        <w:trPr>
          <w:trHeight w:val="460"/>
        </w:trPr>
        <w:tc>
          <w:tcPr>
            <w:tcW w:w="468" w:type="pct"/>
            <w:noWrap/>
            <w:vAlign w:val="center"/>
            <w:hideMark/>
          </w:tcPr>
          <w:p w14:paraId="7C7335DA"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41</w:t>
            </w:r>
          </w:p>
        </w:tc>
        <w:tc>
          <w:tcPr>
            <w:tcW w:w="470" w:type="pct"/>
            <w:noWrap/>
            <w:vAlign w:val="center"/>
            <w:hideMark/>
          </w:tcPr>
          <w:p w14:paraId="6AE5F2D7"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4159</w:t>
            </w:r>
          </w:p>
        </w:tc>
        <w:tc>
          <w:tcPr>
            <w:tcW w:w="2431" w:type="pct"/>
            <w:noWrap/>
            <w:vAlign w:val="center"/>
            <w:hideMark/>
          </w:tcPr>
          <w:p w14:paraId="12A20BAF"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Other administrative occupations n.e.c.</w:t>
            </w:r>
          </w:p>
        </w:tc>
        <w:tc>
          <w:tcPr>
            <w:tcW w:w="785" w:type="pct"/>
            <w:vMerge/>
            <w:shd w:val="clear" w:color="auto" w:fill="B8F8FF" w:themeFill="text2" w:themeFillTint="33"/>
            <w:vAlign w:val="center"/>
            <w:hideMark/>
          </w:tcPr>
          <w:p w14:paraId="6DA6E980"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3758C4CB" w14:textId="3C445686"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2.5%</w:t>
            </w:r>
          </w:p>
        </w:tc>
      </w:tr>
      <w:tr w:rsidR="007E5C23" w:rsidRPr="00464179" w14:paraId="225EAB7A" w14:textId="77777777" w:rsidTr="007E5C23">
        <w:trPr>
          <w:trHeight w:val="460"/>
        </w:trPr>
        <w:tc>
          <w:tcPr>
            <w:tcW w:w="468" w:type="pct"/>
            <w:noWrap/>
            <w:vAlign w:val="center"/>
            <w:hideMark/>
          </w:tcPr>
          <w:p w14:paraId="1D6E58F6"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52</w:t>
            </w:r>
          </w:p>
        </w:tc>
        <w:tc>
          <w:tcPr>
            <w:tcW w:w="470" w:type="pct"/>
            <w:noWrap/>
            <w:vAlign w:val="center"/>
            <w:hideMark/>
          </w:tcPr>
          <w:p w14:paraId="2D57A5C4"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5250</w:t>
            </w:r>
          </w:p>
        </w:tc>
        <w:tc>
          <w:tcPr>
            <w:tcW w:w="2431" w:type="pct"/>
            <w:noWrap/>
            <w:vAlign w:val="center"/>
            <w:hideMark/>
          </w:tcPr>
          <w:p w14:paraId="167F2639"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Skilled metal, electrical and electronic trades supervisors</w:t>
            </w:r>
          </w:p>
        </w:tc>
        <w:tc>
          <w:tcPr>
            <w:tcW w:w="785" w:type="pct"/>
            <w:vMerge/>
            <w:shd w:val="clear" w:color="auto" w:fill="B8F8FF" w:themeFill="text2" w:themeFillTint="33"/>
            <w:vAlign w:val="center"/>
            <w:hideMark/>
          </w:tcPr>
          <w:p w14:paraId="26EA2044"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7EE49615" w14:textId="44E4C647"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2.0%</w:t>
            </w:r>
          </w:p>
        </w:tc>
      </w:tr>
      <w:tr w:rsidR="007E5C23" w:rsidRPr="00464179" w14:paraId="1881EAB6" w14:textId="77777777" w:rsidTr="007E5C23">
        <w:trPr>
          <w:trHeight w:val="460"/>
        </w:trPr>
        <w:tc>
          <w:tcPr>
            <w:tcW w:w="468" w:type="pct"/>
            <w:noWrap/>
            <w:vAlign w:val="center"/>
            <w:hideMark/>
          </w:tcPr>
          <w:p w14:paraId="24E526F0"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w:t>
            </w:r>
          </w:p>
        </w:tc>
        <w:tc>
          <w:tcPr>
            <w:tcW w:w="470" w:type="pct"/>
            <w:noWrap/>
            <w:vAlign w:val="center"/>
            <w:hideMark/>
          </w:tcPr>
          <w:p w14:paraId="061380D6"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5330</w:t>
            </w:r>
          </w:p>
        </w:tc>
        <w:tc>
          <w:tcPr>
            <w:tcW w:w="2431" w:type="pct"/>
            <w:noWrap/>
            <w:vAlign w:val="center"/>
            <w:hideMark/>
          </w:tcPr>
          <w:p w14:paraId="35423556" w14:textId="77777777" w:rsidR="007E5C23" w:rsidRPr="00464179" w:rsidRDefault="007E5C23" w:rsidP="007E5C23">
            <w:pPr>
              <w:spacing w:after="0"/>
              <w:jc w:val="center"/>
              <w:rPr>
                <w:rFonts w:eastAsia="Times New Roman" w:cs="Calibri"/>
                <w:color w:val="000000"/>
                <w:sz w:val="20"/>
                <w:lang w:eastAsia="en-GB"/>
              </w:rPr>
            </w:pPr>
            <w:r w:rsidRPr="00464179">
              <w:rPr>
                <w:rFonts w:eastAsia="Times New Roman" w:cs="Calibri"/>
                <w:color w:val="000000"/>
                <w:sz w:val="20"/>
                <w:lang w:eastAsia="en-GB"/>
              </w:rPr>
              <w:t>Construction and building trades supervisors</w:t>
            </w:r>
          </w:p>
        </w:tc>
        <w:tc>
          <w:tcPr>
            <w:tcW w:w="785" w:type="pct"/>
            <w:vMerge/>
            <w:shd w:val="clear" w:color="auto" w:fill="B8F8FF" w:themeFill="text2" w:themeFillTint="33"/>
            <w:vAlign w:val="center"/>
            <w:hideMark/>
          </w:tcPr>
          <w:p w14:paraId="4804E26F" w14:textId="77777777" w:rsidR="007E5C23" w:rsidRPr="00464179" w:rsidRDefault="007E5C23" w:rsidP="007E5C23">
            <w:pPr>
              <w:spacing w:after="0"/>
              <w:jc w:val="center"/>
              <w:rPr>
                <w:rFonts w:eastAsia="Times New Roman" w:cs="Calibri"/>
                <w:color w:val="000000"/>
                <w:sz w:val="20"/>
                <w:lang w:eastAsia="en-GB"/>
              </w:rPr>
            </w:pPr>
          </w:p>
        </w:tc>
        <w:tc>
          <w:tcPr>
            <w:tcW w:w="846" w:type="pct"/>
            <w:tcBorders>
              <w:top w:val="nil"/>
              <w:left w:val="single" w:sz="4" w:space="0" w:color="auto"/>
              <w:bottom w:val="single" w:sz="4" w:space="0" w:color="auto"/>
              <w:right w:val="single" w:sz="4" w:space="0" w:color="auto"/>
            </w:tcBorders>
            <w:noWrap/>
            <w:vAlign w:val="center"/>
            <w:hideMark/>
          </w:tcPr>
          <w:p w14:paraId="7E6F8D05" w14:textId="27B28FE5" w:rsidR="007E5C23" w:rsidRPr="007E5C23" w:rsidRDefault="007E5C23" w:rsidP="007E5C23">
            <w:pPr>
              <w:spacing w:after="0"/>
              <w:jc w:val="center"/>
              <w:rPr>
                <w:rFonts w:eastAsia="Times New Roman" w:cs="Calibri"/>
                <w:b/>
                <w:bCs/>
                <w:color w:val="000000"/>
                <w:sz w:val="20"/>
                <w:lang w:eastAsia="en-GB"/>
              </w:rPr>
            </w:pPr>
            <w:r w:rsidRPr="007E5C23">
              <w:rPr>
                <w:rFonts w:cs="Calibri"/>
                <w:b/>
                <w:bCs/>
                <w:color w:val="000000"/>
                <w:sz w:val="20"/>
              </w:rPr>
              <w:t>2.3%</w:t>
            </w:r>
          </w:p>
        </w:tc>
      </w:tr>
    </w:tbl>
    <w:p w14:paraId="4B15FF30" w14:textId="731DDA2E" w:rsidR="00B97591" w:rsidRDefault="00B97591" w:rsidP="00B97591">
      <w:pPr>
        <w:spacing w:after="120" w:line="278" w:lineRule="auto"/>
        <w:jc w:val="right"/>
        <w:rPr>
          <w:color w:val="6D6E71" w:themeColor="accent3"/>
          <w:sz w:val="18"/>
          <w:szCs w:val="16"/>
        </w:rPr>
      </w:pPr>
      <w:r>
        <w:rPr>
          <w:color w:val="6D6E71" w:themeColor="accent3"/>
          <w:sz w:val="18"/>
          <w:szCs w:val="16"/>
        </w:rPr>
        <w:t xml:space="preserve">Source: </w:t>
      </w:r>
      <w:r w:rsidR="007E5C23">
        <w:rPr>
          <w:color w:val="6D6E71" w:themeColor="accent3"/>
          <w:sz w:val="18"/>
          <w:szCs w:val="16"/>
        </w:rPr>
        <w:t>Department for Education (</w:t>
      </w:r>
      <w:r w:rsidR="007E5C23" w:rsidRPr="007E5C23">
        <w:rPr>
          <w:color w:val="6D6E71" w:themeColor="accent3"/>
          <w:sz w:val="18"/>
          <w:szCs w:val="16"/>
        </w:rPr>
        <w:t>The Skills Imperative 2035</w:t>
      </w:r>
      <w:r w:rsidR="007E5C23">
        <w:rPr>
          <w:color w:val="6D6E71" w:themeColor="accent3"/>
          <w:sz w:val="18"/>
          <w:szCs w:val="16"/>
        </w:rPr>
        <w:t xml:space="preserve">) </w:t>
      </w:r>
    </w:p>
    <w:p w14:paraId="25EBC1AF" w14:textId="3B5C687F" w:rsidR="00B97591" w:rsidRDefault="00B97591" w:rsidP="00B97591">
      <w:pPr>
        <w:spacing w:after="120" w:line="278" w:lineRule="auto"/>
        <w:jc w:val="both"/>
      </w:pPr>
      <w:r>
        <w:t xml:space="preserve">Table </w:t>
      </w:r>
      <w:r w:rsidR="00167C62">
        <w:t>10</w:t>
      </w:r>
      <w:r>
        <w:t xml:space="preserve"> presents the replacement demand rates, expressed on a per annum basis, retrieved from the</w:t>
      </w:r>
      <w:r w:rsidR="007E5C23">
        <w:t xml:space="preserve"> Department for Education</w:t>
      </w:r>
      <w:r>
        <w:t xml:space="preserve"> report. For our core occupations, </w:t>
      </w:r>
      <w:r w:rsidRPr="00FB1C2D">
        <w:t xml:space="preserve">the evidence available from </w:t>
      </w:r>
      <w:r w:rsidR="007E5C23">
        <w:t>Department for Education</w:t>
      </w:r>
      <w:r w:rsidRPr="00FB1C2D">
        <w:t xml:space="preserve"> (covering the period 20</w:t>
      </w:r>
      <w:r w:rsidR="007E5C23">
        <w:t>20</w:t>
      </w:r>
      <w:r w:rsidRPr="00FB1C2D">
        <w:t xml:space="preserve"> to 20</w:t>
      </w:r>
      <w:r w:rsidR="007E5C23">
        <w:t>35</w:t>
      </w:r>
      <w:r w:rsidRPr="00FB1C2D">
        <w:t xml:space="preserve">) points to annual replacement rates ranging from around </w:t>
      </w:r>
      <w:r w:rsidR="007E5C23">
        <w:t>2</w:t>
      </w:r>
      <w:r w:rsidR="005B5BB8">
        <w:t xml:space="preserve">% </w:t>
      </w:r>
      <w:r w:rsidRPr="00FB1C2D">
        <w:t>to 3</w:t>
      </w:r>
      <w:r w:rsidR="005B5BB8">
        <w:t>%</w:t>
      </w:r>
      <w:r w:rsidRPr="00FB1C2D">
        <w:t>, depending on the occupational group.</w:t>
      </w:r>
    </w:p>
    <w:p w14:paraId="607229F8" w14:textId="4CFCE05A" w:rsidR="00B97591" w:rsidRDefault="00B97591" w:rsidP="00B97591">
      <w:pPr>
        <w:spacing w:after="120" w:line="278" w:lineRule="auto"/>
        <w:jc w:val="both"/>
      </w:pPr>
      <w:r w:rsidRPr="00C4178E">
        <w:t xml:space="preserve">Across core direct </w:t>
      </w:r>
      <w:r>
        <w:t>and support</w:t>
      </w:r>
      <w:r w:rsidRPr="00C4178E">
        <w:t xml:space="preserve"> roles, including electricians, plumbers, roofers, glaziers and general construction trades, annual replacement demand is broadly consistent at approximately 2.</w:t>
      </w:r>
      <w:r w:rsidR="00AB679F">
        <w:t>3</w:t>
      </w:r>
      <w:r>
        <w:t>%, with the exception of electricians and electrical fitters</w:t>
      </w:r>
      <w:r w:rsidR="00AB679F">
        <w:t xml:space="preserve"> and elementary construction operatives</w:t>
      </w:r>
      <w:r>
        <w:t>, which see a lower replacement demand rate</w:t>
      </w:r>
      <w:r w:rsidR="00AB679F">
        <w:t>s</w:t>
      </w:r>
      <w:r>
        <w:t xml:space="preserve"> of 2.</w:t>
      </w:r>
      <w:r w:rsidR="00AB679F">
        <w:t>0</w:t>
      </w:r>
      <w:r>
        <w:t>%</w:t>
      </w:r>
      <w:r w:rsidR="00AB679F">
        <w:t xml:space="preserve"> and 1.9%, respectively</w:t>
      </w:r>
      <w:r>
        <w:t>.</w:t>
      </w:r>
    </w:p>
    <w:p w14:paraId="16C0EF4E" w14:textId="68521CDF" w:rsidR="00B97591" w:rsidRDefault="00AB679F" w:rsidP="00B97591">
      <w:pPr>
        <w:spacing w:after="120" w:line="278" w:lineRule="auto"/>
        <w:jc w:val="both"/>
      </w:pPr>
      <w:r>
        <w:t>S</w:t>
      </w:r>
      <w:r w:rsidRPr="00AB679F">
        <w:t>upervisory and technical occupations display a broader range of replacement demand rates. Most engineering professionals, project engineers and construction supervisors are characterised by replacement rates of around 2.3</w:t>
      </w:r>
      <w:r>
        <w:t xml:space="preserve">% </w:t>
      </w:r>
      <w:r w:rsidRPr="00AB679F">
        <w:t>per annum, broadly in line with skilled trades. However, construction project managers show materially higher attrition, with replacement demand estimated at around 3.0</w:t>
      </w:r>
      <w:r>
        <w:t xml:space="preserve">% </w:t>
      </w:r>
      <w:r w:rsidRPr="00AB679F">
        <w:t>per year. Health and safety managers and certain administrative roles also exhibit elevated replacement rates of approximately 2.</w:t>
      </w:r>
      <w:r>
        <w:t>5%</w:t>
      </w:r>
      <w:r w:rsidRPr="00AB679F">
        <w:t>.</w:t>
      </w:r>
      <w:r>
        <w:t xml:space="preserve"> </w:t>
      </w:r>
      <w:r w:rsidR="00B97591" w:rsidRPr="00C4178E">
        <w:t>This suggests that turnover in project oversight and compliance roles may be more pronounced, with potential implications for the availability of experienced supervisory capacity in large-scale retrofit programmes.</w:t>
      </w:r>
    </w:p>
    <w:p w14:paraId="02A93F82" w14:textId="35E8C922" w:rsidR="00B97591" w:rsidRDefault="00AB679F" w:rsidP="00B97591">
      <w:pPr>
        <w:spacing w:after="120" w:line="278" w:lineRule="auto"/>
        <w:jc w:val="both"/>
      </w:pPr>
      <w:r>
        <w:t>T</w:t>
      </w:r>
      <w:r w:rsidRPr="00AB679F">
        <w:t xml:space="preserve">he replacement demand estimates used here span the full 2020 to 2035 period and therefore align closely with the forecast horizon of this study. This provides a robust basis for modelling workforce attrition over time, capturing expected demographic change and structural labour-market trends across the next decade. While these rates do not explicitly account for any additional pressure arising from an accelerated retrofit rollout, they provide </w:t>
      </w:r>
      <w:r>
        <w:t>a</w:t>
      </w:r>
      <w:r w:rsidRPr="00AB679F">
        <w:t xml:space="preserve"> consistent and forward-looking benchmark for replacement demand across retrofit-relevant occupations.</w:t>
      </w:r>
    </w:p>
    <w:p w14:paraId="12946A40" w14:textId="7B220015" w:rsidR="000B5A82" w:rsidRPr="0023109C" w:rsidRDefault="000B5A82" w:rsidP="000B5A82">
      <w:pPr>
        <w:pStyle w:val="Heading2"/>
        <w:spacing w:line="278" w:lineRule="auto"/>
      </w:pPr>
      <w:bookmarkStart w:id="29" w:name="_Toc221182664"/>
      <w:r>
        <w:t>Redeployment potential</w:t>
      </w:r>
      <w:bookmarkEnd w:id="29"/>
    </w:p>
    <w:p w14:paraId="7E1A0632" w14:textId="4FFB4EB4" w:rsidR="00234014" w:rsidRPr="00B45EC8" w:rsidRDefault="00234014" w:rsidP="00234014">
      <w:pPr>
        <w:spacing w:after="120" w:line="278" w:lineRule="auto"/>
        <w:jc w:val="both"/>
        <w:rPr>
          <w:color w:val="404040" w:themeColor="text1" w:themeTint="BF"/>
        </w:rPr>
      </w:pPr>
      <w:r w:rsidRPr="00B45EC8">
        <w:rPr>
          <w:color w:val="404040" w:themeColor="text1" w:themeTint="BF"/>
        </w:rPr>
        <w:t>In addition to formal training pipelines, there is scope for meeting a share of retrofit labour demand through the redeployment of workers from adjacent occupations. While a detailed assessment of labour mobility dynamics would require a dedicated analysis beyond the scope of this research, the approach adopted here is intended to illustrate the order of magnitude of this potential rather than to forecast realised labour flows.</w:t>
      </w:r>
    </w:p>
    <w:p w14:paraId="7A4F3E3F" w14:textId="02653A9A" w:rsidR="00234014" w:rsidRPr="00B45EC8" w:rsidRDefault="00234014" w:rsidP="00234014">
      <w:pPr>
        <w:spacing w:after="120" w:line="278" w:lineRule="auto"/>
        <w:jc w:val="both"/>
        <w:rPr>
          <w:color w:val="404040" w:themeColor="text1" w:themeTint="BF"/>
        </w:rPr>
      </w:pPr>
      <w:r w:rsidRPr="00B45EC8">
        <w:rPr>
          <w:color w:val="404040" w:themeColor="text1" w:themeTint="BF"/>
        </w:rPr>
        <w:lastRenderedPageBreak/>
        <w:t xml:space="preserve">Evidence from the </w:t>
      </w:r>
      <w:hyperlink r:id="rId30" w:history="1">
        <w:r w:rsidRPr="00234014">
          <w:rPr>
            <w:rStyle w:val="Hyperlink"/>
            <w:color w:val="5959FF" w:themeColor="hyperlink" w:themeTint="A6"/>
          </w:rPr>
          <w:t>Engineering Construction Industry Training Board (ECITB)</w:t>
        </w:r>
      </w:hyperlink>
      <w:r w:rsidRPr="00234014">
        <w:rPr>
          <w:color w:val="595959" w:themeColor="text1" w:themeTint="A6"/>
        </w:rPr>
        <w:t xml:space="preserve"> indicates that </w:t>
      </w:r>
      <w:r w:rsidRPr="00B45EC8">
        <w:rPr>
          <w:color w:val="404040" w:themeColor="text1" w:themeTint="BF"/>
        </w:rPr>
        <w:t>only a small proportion of workers in any given sector consider moving across sectors in a typical year. ECITB analysis suggests that between 1% and 2% of the workforce may consider cross-sector moves annually. This range is adopted here as a conservative, externally grounded benchmark for assessing redeployment potential.</w:t>
      </w:r>
    </w:p>
    <w:p w14:paraId="11B04278" w14:textId="0B2866A5" w:rsidR="00234014" w:rsidRPr="00B45EC8" w:rsidRDefault="00234014" w:rsidP="00234014">
      <w:pPr>
        <w:spacing w:after="120" w:line="278" w:lineRule="auto"/>
        <w:jc w:val="both"/>
        <w:rPr>
          <w:color w:val="404040" w:themeColor="text1" w:themeTint="BF"/>
        </w:rPr>
      </w:pPr>
      <w:r w:rsidRPr="00B45EC8">
        <w:rPr>
          <w:color w:val="404040" w:themeColor="text1" w:themeTint="BF"/>
        </w:rPr>
        <w:t>On this basis, three redeployment scenarios are constructed:</w:t>
      </w:r>
    </w:p>
    <w:p w14:paraId="45164BAB" w14:textId="27F67520" w:rsidR="00234014" w:rsidRPr="00B45EC8" w:rsidRDefault="00234014" w:rsidP="00234014">
      <w:pPr>
        <w:pStyle w:val="ListParagraph"/>
        <w:numPr>
          <w:ilvl w:val="0"/>
          <w:numId w:val="33"/>
        </w:numPr>
        <w:spacing w:after="120" w:line="278" w:lineRule="auto"/>
        <w:jc w:val="both"/>
        <w:rPr>
          <w:color w:val="404040" w:themeColor="text1" w:themeTint="BF"/>
        </w:rPr>
      </w:pPr>
      <w:r w:rsidRPr="00B45EC8">
        <w:rPr>
          <w:b/>
          <w:bCs/>
          <w:color w:val="404040" w:themeColor="text1" w:themeTint="BF"/>
        </w:rPr>
        <w:t>No redeployment scenario</w:t>
      </w:r>
      <w:r w:rsidRPr="00B45EC8">
        <w:rPr>
          <w:color w:val="404040" w:themeColor="text1" w:themeTint="BF"/>
        </w:rPr>
        <w:t>, which assumes no contribution from adjacent occupations and reflects a baseline in which institutional, certification, and information barriers prevent meaningful cross-sector movement.</w:t>
      </w:r>
    </w:p>
    <w:p w14:paraId="572CA519" w14:textId="34F81468" w:rsidR="00234014" w:rsidRPr="00B45EC8" w:rsidRDefault="00234014" w:rsidP="00234014">
      <w:pPr>
        <w:pStyle w:val="ListParagraph"/>
        <w:numPr>
          <w:ilvl w:val="0"/>
          <w:numId w:val="33"/>
        </w:numPr>
        <w:spacing w:after="120" w:line="278" w:lineRule="auto"/>
        <w:jc w:val="both"/>
        <w:rPr>
          <w:color w:val="404040" w:themeColor="text1" w:themeTint="BF"/>
        </w:rPr>
      </w:pPr>
      <w:r w:rsidRPr="00B45EC8">
        <w:rPr>
          <w:b/>
          <w:bCs/>
          <w:color w:val="404040" w:themeColor="text1" w:themeTint="BF"/>
        </w:rPr>
        <w:t>Low redeployment scenario</w:t>
      </w:r>
      <w:r w:rsidRPr="00B45EC8">
        <w:rPr>
          <w:color w:val="404040" w:themeColor="text1" w:themeTint="BF"/>
        </w:rPr>
        <w:t>, which assumes that 1% of the adjacent workforce is potentially available for redeployment in a given year, consistent with lower-bound ECITB evidence under normal labour market conditions.</w:t>
      </w:r>
    </w:p>
    <w:p w14:paraId="6BD0BB72" w14:textId="2C33B412" w:rsidR="00234014" w:rsidRPr="00B45EC8" w:rsidRDefault="00234014" w:rsidP="00234014">
      <w:pPr>
        <w:pStyle w:val="ListParagraph"/>
        <w:numPr>
          <w:ilvl w:val="0"/>
          <w:numId w:val="33"/>
        </w:numPr>
        <w:spacing w:after="120" w:line="278" w:lineRule="auto"/>
        <w:jc w:val="both"/>
        <w:rPr>
          <w:color w:val="404040" w:themeColor="text1" w:themeTint="BF"/>
        </w:rPr>
      </w:pPr>
      <w:r w:rsidRPr="00B45EC8">
        <w:rPr>
          <w:b/>
          <w:bCs/>
          <w:color w:val="404040" w:themeColor="text1" w:themeTint="BF"/>
        </w:rPr>
        <w:t>High redeployment scenario</w:t>
      </w:r>
      <w:r w:rsidRPr="00B45EC8">
        <w:rPr>
          <w:color w:val="404040" w:themeColor="text1" w:themeTint="BF"/>
        </w:rPr>
        <w:t>, which assumes a 2% annual redeployment potential from the adjacent workforce. This represents an upper-bound case aligned with ECITB evidence and would require more active coordination, including targeted accreditation pathways, employer engagement, and clear signals of sustained retrofit demand.</w:t>
      </w:r>
    </w:p>
    <w:p w14:paraId="2DDAC47F" w14:textId="568FEBA8" w:rsidR="00234014" w:rsidRDefault="00234014" w:rsidP="00234014">
      <w:pPr>
        <w:spacing w:after="120" w:line="278" w:lineRule="auto"/>
        <w:jc w:val="both"/>
        <w:rPr>
          <w:color w:val="404040" w:themeColor="text1" w:themeTint="BF"/>
        </w:rPr>
      </w:pPr>
      <w:r w:rsidRPr="00B45EC8">
        <w:rPr>
          <w:color w:val="404040" w:themeColor="text1" w:themeTint="BF"/>
        </w:rPr>
        <w:t>In both the low and high scenarios, redeployment estimates are treated as upper-bound availability rather than realised inflows. The analysis does not assume that all potentially available workers transition into retrofit roles, nor does it model cumulative redeployment over time. Instead, the results are used to illustrate how much of the projected workforce gap could, in principle, be offset in each retrofit delivery scenario.</w:t>
      </w:r>
    </w:p>
    <w:p w14:paraId="2B05DD6E" w14:textId="4CFB9E3E" w:rsidR="00B64D7C" w:rsidRDefault="00B64D7C" w:rsidP="00234014">
      <w:pPr>
        <w:spacing w:after="120" w:line="278" w:lineRule="auto"/>
        <w:jc w:val="both"/>
        <w:rPr>
          <w:color w:val="404040" w:themeColor="text1" w:themeTint="BF"/>
        </w:rPr>
      </w:pPr>
      <w:r>
        <w:rPr>
          <w:color w:val="404040" w:themeColor="text1" w:themeTint="BF"/>
        </w:rPr>
        <w:t>Moreover, r</w:t>
      </w:r>
      <w:r w:rsidRPr="00B45EC8">
        <w:rPr>
          <w:color w:val="404040" w:themeColor="text1" w:themeTint="BF"/>
        </w:rPr>
        <w:t>edeployment potential is allocated across the direct, support, and supervisory workforce classifications used in the supply model. While this role-based allocation is a reasonable simplifying assumption, it is not possible to precisely identify which specific occupations redeployed workers would ultimately enter, and results should be interpreted accordingly.</w:t>
      </w:r>
    </w:p>
    <w:p w14:paraId="13FE3CA6" w14:textId="378BDC8A" w:rsidR="000B71EF" w:rsidRDefault="000B71EF" w:rsidP="000B71EF">
      <w:pPr>
        <w:pStyle w:val="Caption"/>
      </w:pPr>
      <w:r w:rsidRPr="00F46C41">
        <w:rPr>
          <w:color w:val="6D6E71" w:themeColor="accent3"/>
          <w:sz w:val="18"/>
        </w:rPr>
        <w:t xml:space="preserve">Table </w:t>
      </w:r>
      <w:r w:rsidRPr="00F46C41">
        <w:rPr>
          <w:color w:val="6D6E71" w:themeColor="accent3"/>
          <w:sz w:val="18"/>
        </w:rPr>
        <w:fldChar w:fldCharType="begin"/>
      </w:r>
      <w:r w:rsidRPr="00F46C41">
        <w:rPr>
          <w:color w:val="6D6E71" w:themeColor="accent3"/>
          <w:sz w:val="18"/>
        </w:rPr>
        <w:instrText xml:space="preserve"> SEQ Table \* ARABIC </w:instrText>
      </w:r>
      <w:r w:rsidRPr="00F46C41">
        <w:rPr>
          <w:color w:val="6D6E71" w:themeColor="accent3"/>
          <w:sz w:val="18"/>
        </w:rPr>
        <w:fldChar w:fldCharType="separate"/>
      </w:r>
      <w:r w:rsidR="004775B5">
        <w:rPr>
          <w:noProof/>
          <w:color w:val="6D6E71" w:themeColor="accent3"/>
          <w:sz w:val="18"/>
        </w:rPr>
        <w:t>11</w:t>
      </w:r>
      <w:r w:rsidRPr="00F46C41">
        <w:rPr>
          <w:color w:val="6D6E71" w:themeColor="accent3"/>
          <w:sz w:val="18"/>
        </w:rPr>
        <w:fldChar w:fldCharType="end"/>
      </w:r>
      <w:r w:rsidRPr="00015203">
        <w:rPr>
          <w:color w:val="6D6E71" w:themeColor="accent3"/>
          <w:sz w:val="18"/>
        </w:rPr>
        <w:t xml:space="preserve">: </w:t>
      </w:r>
      <w:r>
        <w:rPr>
          <w:color w:val="6D6E71" w:themeColor="accent3"/>
          <w:sz w:val="18"/>
        </w:rPr>
        <w:t>Scale of redeployment under low redeployment scenario (rounded to nearest 100s, totals may differ due to rounding)</w:t>
      </w:r>
    </w:p>
    <w:tbl>
      <w:tblPr>
        <w:tblW w:w="5000" w:type="pct"/>
        <w:jc w:val="center"/>
        <w:tblLook w:val="04A0" w:firstRow="1" w:lastRow="0" w:firstColumn="1" w:lastColumn="0" w:noHBand="0" w:noVBand="1"/>
        <w:tblCaption w:val="Table 11: Scale of redeployment under low redeployment scenario (rounded to nearest 100s, totals may differ due to rounding)"/>
        <w:tblDescription w:val="Table showing the estimated scale of workforce redeployment into retrofit roles under a low-redeployment scenario, broken down by direct, support, and supervisory roles, from 2025/26 to 2034/35."/>
      </w:tblPr>
      <w:tblGrid>
        <w:gridCol w:w="1807"/>
        <w:gridCol w:w="1809"/>
        <w:gridCol w:w="1807"/>
        <w:gridCol w:w="1809"/>
        <w:gridCol w:w="1808"/>
      </w:tblGrid>
      <w:tr w:rsidR="000B71EF" w:rsidRPr="00260922" w14:paraId="0C6C7A9C" w14:textId="77777777" w:rsidTr="000B71EF">
        <w:trPr>
          <w:trHeight w:val="374"/>
          <w:jc w:val="center"/>
        </w:trPr>
        <w:tc>
          <w:tcPr>
            <w:tcW w:w="999" w:type="pct"/>
            <w:tcBorders>
              <w:top w:val="nil"/>
              <w:left w:val="nil"/>
              <w:bottom w:val="nil"/>
              <w:right w:val="nil"/>
            </w:tcBorders>
            <w:noWrap/>
            <w:vAlign w:val="bottom"/>
            <w:hideMark/>
          </w:tcPr>
          <w:p w14:paraId="1B6976B6" w14:textId="77777777" w:rsidR="000B71EF" w:rsidRPr="00260922" w:rsidRDefault="000B71EF" w:rsidP="003F418B">
            <w:pPr>
              <w:spacing w:after="0"/>
              <w:rPr>
                <w:rFonts w:eastAsia="Times New Roman"/>
                <w:color w:val="auto"/>
                <w:sz w:val="20"/>
                <w:lang w:eastAsia="en-GB"/>
              </w:rPr>
            </w:pPr>
          </w:p>
        </w:tc>
        <w:tc>
          <w:tcPr>
            <w:tcW w:w="1000" w:type="pct"/>
            <w:tcBorders>
              <w:top w:val="single" w:sz="8" w:space="0" w:color="auto"/>
              <w:left w:val="single" w:sz="8" w:space="0" w:color="auto"/>
              <w:bottom w:val="single" w:sz="4" w:space="0" w:color="auto"/>
              <w:right w:val="single" w:sz="4" w:space="0" w:color="auto"/>
            </w:tcBorders>
            <w:shd w:val="clear" w:color="000000" w:fill="00464D"/>
            <w:vAlign w:val="center"/>
            <w:hideMark/>
          </w:tcPr>
          <w:p w14:paraId="37FBE5C1" w14:textId="77777777" w:rsidR="000B71EF" w:rsidRPr="00260922" w:rsidRDefault="000B71EF" w:rsidP="003F418B">
            <w:pPr>
              <w:spacing w:after="0"/>
              <w:jc w:val="center"/>
              <w:rPr>
                <w:rFonts w:eastAsia="Times New Roman" w:cs="Calibri"/>
                <w:b/>
                <w:bCs/>
                <w:color w:val="FFFFFF"/>
                <w:sz w:val="20"/>
                <w:lang w:eastAsia="en-GB"/>
              </w:rPr>
            </w:pPr>
            <w:r w:rsidRPr="00260922">
              <w:rPr>
                <w:rFonts w:eastAsia="Times New Roman" w:cs="Calibri"/>
                <w:b/>
                <w:bCs/>
                <w:color w:val="FFFFFF"/>
                <w:sz w:val="20"/>
                <w:lang w:eastAsia="en-GB"/>
              </w:rPr>
              <w:t>Direct</w:t>
            </w:r>
          </w:p>
        </w:tc>
        <w:tc>
          <w:tcPr>
            <w:tcW w:w="999" w:type="pct"/>
            <w:tcBorders>
              <w:top w:val="single" w:sz="8" w:space="0" w:color="auto"/>
              <w:left w:val="nil"/>
              <w:bottom w:val="single" w:sz="4" w:space="0" w:color="auto"/>
              <w:right w:val="single" w:sz="4" w:space="0" w:color="auto"/>
            </w:tcBorders>
            <w:shd w:val="clear" w:color="000000" w:fill="00464D"/>
            <w:vAlign w:val="center"/>
            <w:hideMark/>
          </w:tcPr>
          <w:p w14:paraId="55A9FB72" w14:textId="77777777" w:rsidR="000B71EF" w:rsidRPr="00260922" w:rsidRDefault="000B71EF" w:rsidP="003F418B">
            <w:pPr>
              <w:spacing w:after="0"/>
              <w:jc w:val="center"/>
              <w:rPr>
                <w:rFonts w:eastAsia="Times New Roman" w:cs="Calibri"/>
                <w:b/>
                <w:bCs/>
                <w:color w:val="FFFFFF"/>
                <w:sz w:val="20"/>
                <w:lang w:eastAsia="en-GB"/>
              </w:rPr>
            </w:pPr>
            <w:r w:rsidRPr="00260922">
              <w:rPr>
                <w:rFonts w:eastAsia="Times New Roman" w:cs="Calibri"/>
                <w:b/>
                <w:bCs/>
                <w:color w:val="FFFFFF"/>
                <w:sz w:val="20"/>
                <w:lang w:eastAsia="en-GB"/>
              </w:rPr>
              <w:t>Support</w:t>
            </w:r>
          </w:p>
        </w:tc>
        <w:tc>
          <w:tcPr>
            <w:tcW w:w="1000" w:type="pct"/>
            <w:tcBorders>
              <w:top w:val="single" w:sz="8" w:space="0" w:color="auto"/>
              <w:left w:val="nil"/>
              <w:bottom w:val="single" w:sz="4" w:space="0" w:color="auto"/>
              <w:right w:val="single" w:sz="4" w:space="0" w:color="auto"/>
            </w:tcBorders>
            <w:shd w:val="clear" w:color="000000" w:fill="00464D"/>
            <w:vAlign w:val="center"/>
            <w:hideMark/>
          </w:tcPr>
          <w:p w14:paraId="7520388D" w14:textId="77777777" w:rsidR="000B71EF" w:rsidRPr="00260922" w:rsidRDefault="000B71EF" w:rsidP="003F418B">
            <w:pPr>
              <w:spacing w:after="0"/>
              <w:jc w:val="center"/>
              <w:rPr>
                <w:rFonts w:eastAsia="Times New Roman" w:cs="Calibri"/>
                <w:b/>
                <w:bCs/>
                <w:color w:val="FFFFFF"/>
                <w:sz w:val="20"/>
                <w:lang w:eastAsia="en-GB"/>
              </w:rPr>
            </w:pPr>
            <w:r w:rsidRPr="00260922">
              <w:rPr>
                <w:rFonts w:eastAsia="Times New Roman" w:cs="Calibri"/>
                <w:b/>
                <w:bCs/>
                <w:color w:val="FFFFFF"/>
                <w:sz w:val="20"/>
                <w:lang w:eastAsia="en-GB"/>
              </w:rPr>
              <w:t>Supervisory</w:t>
            </w:r>
          </w:p>
        </w:tc>
        <w:tc>
          <w:tcPr>
            <w:tcW w:w="1000" w:type="pct"/>
            <w:tcBorders>
              <w:top w:val="single" w:sz="8" w:space="0" w:color="auto"/>
              <w:left w:val="nil"/>
              <w:bottom w:val="single" w:sz="4" w:space="0" w:color="auto"/>
              <w:right w:val="single" w:sz="8" w:space="0" w:color="auto"/>
            </w:tcBorders>
            <w:shd w:val="clear" w:color="000000" w:fill="00464D"/>
            <w:vAlign w:val="center"/>
            <w:hideMark/>
          </w:tcPr>
          <w:p w14:paraId="702667E4" w14:textId="77777777" w:rsidR="000B71EF" w:rsidRPr="00260922" w:rsidRDefault="000B71EF" w:rsidP="003F418B">
            <w:pPr>
              <w:spacing w:after="0"/>
              <w:jc w:val="center"/>
              <w:rPr>
                <w:rFonts w:eastAsia="Times New Roman" w:cs="Calibri"/>
                <w:b/>
                <w:bCs/>
                <w:color w:val="FFFFFF"/>
                <w:sz w:val="20"/>
                <w:lang w:eastAsia="en-GB"/>
              </w:rPr>
            </w:pPr>
            <w:r w:rsidRPr="00260922">
              <w:rPr>
                <w:rFonts w:eastAsia="Times New Roman" w:cs="Calibri"/>
                <w:b/>
                <w:bCs/>
                <w:color w:val="FFFFFF"/>
                <w:sz w:val="20"/>
                <w:lang w:eastAsia="en-GB"/>
              </w:rPr>
              <w:t>Total</w:t>
            </w:r>
          </w:p>
        </w:tc>
      </w:tr>
      <w:tr w:rsidR="000B71EF" w:rsidRPr="00260922" w14:paraId="3F37B967" w14:textId="77777777" w:rsidTr="000B71EF">
        <w:trPr>
          <w:trHeight w:val="374"/>
          <w:jc w:val="center"/>
        </w:trPr>
        <w:tc>
          <w:tcPr>
            <w:tcW w:w="999" w:type="pct"/>
            <w:tcBorders>
              <w:top w:val="single" w:sz="8" w:space="0" w:color="auto"/>
              <w:left w:val="single" w:sz="8" w:space="0" w:color="auto"/>
              <w:bottom w:val="single" w:sz="8" w:space="0" w:color="auto"/>
              <w:right w:val="single" w:sz="4" w:space="0" w:color="auto"/>
            </w:tcBorders>
            <w:shd w:val="clear" w:color="000000" w:fill="00464D"/>
            <w:vAlign w:val="center"/>
            <w:hideMark/>
          </w:tcPr>
          <w:p w14:paraId="38A871FD"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2025/26</w:t>
            </w:r>
          </w:p>
        </w:tc>
        <w:tc>
          <w:tcPr>
            <w:tcW w:w="1000" w:type="pct"/>
            <w:tcBorders>
              <w:top w:val="single" w:sz="4" w:space="0" w:color="auto"/>
              <w:left w:val="nil"/>
              <w:bottom w:val="single" w:sz="4" w:space="0" w:color="auto"/>
              <w:right w:val="single" w:sz="4" w:space="0" w:color="auto"/>
            </w:tcBorders>
            <w:vAlign w:val="center"/>
            <w:hideMark/>
          </w:tcPr>
          <w:p w14:paraId="3129BD0B"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400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29462970"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200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03B06A62"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600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21EDEA06"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1,100</w:t>
            </w:r>
          </w:p>
        </w:tc>
      </w:tr>
      <w:tr w:rsidR="000B71EF" w:rsidRPr="00260922" w14:paraId="127622DD"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57D07A5C"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2026/27</w:t>
            </w:r>
          </w:p>
        </w:tc>
        <w:tc>
          <w:tcPr>
            <w:tcW w:w="1000" w:type="pct"/>
            <w:tcBorders>
              <w:top w:val="single" w:sz="4" w:space="0" w:color="auto"/>
              <w:left w:val="nil"/>
              <w:bottom w:val="single" w:sz="4" w:space="0" w:color="auto"/>
              <w:right w:val="single" w:sz="4" w:space="0" w:color="auto"/>
            </w:tcBorders>
            <w:vAlign w:val="center"/>
            <w:hideMark/>
          </w:tcPr>
          <w:p w14:paraId="73F3025F"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400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4CAEE661"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200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6CC8F86B"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500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74EF1143"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1,100</w:t>
            </w:r>
          </w:p>
        </w:tc>
      </w:tr>
      <w:tr w:rsidR="000B71EF" w:rsidRPr="00260922" w14:paraId="3BBD7D19"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592444F0"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2027/28</w:t>
            </w:r>
          </w:p>
        </w:tc>
        <w:tc>
          <w:tcPr>
            <w:tcW w:w="1000" w:type="pct"/>
            <w:tcBorders>
              <w:top w:val="single" w:sz="4" w:space="0" w:color="auto"/>
              <w:left w:val="nil"/>
              <w:bottom w:val="single" w:sz="4" w:space="0" w:color="auto"/>
              <w:right w:val="single" w:sz="4" w:space="0" w:color="auto"/>
            </w:tcBorders>
            <w:vAlign w:val="center"/>
            <w:hideMark/>
          </w:tcPr>
          <w:p w14:paraId="5F757E0E"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400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3971DB3E"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200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5FF4B289"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500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497229E1"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1,100</w:t>
            </w:r>
          </w:p>
        </w:tc>
      </w:tr>
      <w:tr w:rsidR="000B71EF" w:rsidRPr="00260922" w14:paraId="3EE39407"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6F74F22F"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2028/29</w:t>
            </w:r>
          </w:p>
        </w:tc>
        <w:tc>
          <w:tcPr>
            <w:tcW w:w="1000" w:type="pct"/>
            <w:tcBorders>
              <w:top w:val="single" w:sz="4" w:space="0" w:color="auto"/>
              <w:left w:val="nil"/>
              <w:bottom w:val="single" w:sz="4" w:space="0" w:color="auto"/>
              <w:right w:val="single" w:sz="4" w:space="0" w:color="auto"/>
            </w:tcBorders>
            <w:vAlign w:val="center"/>
            <w:hideMark/>
          </w:tcPr>
          <w:p w14:paraId="747BE790"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400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506F6E21"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200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5DE0DAB4"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500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163308C1"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1,000</w:t>
            </w:r>
          </w:p>
        </w:tc>
      </w:tr>
      <w:tr w:rsidR="000B71EF" w:rsidRPr="00260922" w14:paraId="431D8FA2"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3BB2A80F"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2029/30</w:t>
            </w:r>
          </w:p>
        </w:tc>
        <w:tc>
          <w:tcPr>
            <w:tcW w:w="1000" w:type="pct"/>
            <w:tcBorders>
              <w:top w:val="single" w:sz="4" w:space="0" w:color="auto"/>
              <w:left w:val="nil"/>
              <w:bottom w:val="single" w:sz="4" w:space="0" w:color="auto"/>
              <w:right w:val="single" w:sz="4" w:space="0" w:color="auto"/>
            </w:tcBorders>
            <w:vAlign w:val="center"/>
            <w:hideMark/>
          </w:tcPr>
          <w:p w14:paraId="4FE62748"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400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4B7DDB35"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200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364F693B"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500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1F84C245"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1,000</w:t>
            </w:r>
          </w:p>
        </w:tc>
      </w:tr>
      <w:tr w:rsidR="000B71EF" w:rsidRPr="00260922" w14:paraId="7D9C00D3"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601C0707"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2030/31</w:t>
            </w:r>
          </w:p>
        </w:tc>
        <w:tc>
          <w:tcPr>
            <w:tcW w:w="1000" w:type="pct"/>
            <w:tcBorders>
              <w:top w:val="single" w:sz="4" w:space="0" w:color="auto"/>
              <w:left w:val="nil"/>
              <w:bottom w:val="single" w:sz="4" w:space="0" w:color="auto"/>
              <w:right w:val="single" w:sz="4" w:space="0" w:color="auto"/>
            </w:tcBorders>
            <w:vAlign w:val="center"/>
            <w:hideMark/>
          </w:tcPr>
          <w:p w14:paraId="2E4674D5"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400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5FFCC853"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7F9DF3C9"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500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699E6BD7"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1,000</w:t>
            </w:r>
          </w:p>
        </w:tc>
      </w:tr>
      <w:tr w:rsidR="000B71EF" w:rsidRPr="00260922" w14:paraId="23FCFF5D"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64D8AA2B"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2031/32</w:t>
            </w:r>
          </w:p>
        </w:tc>
        <w:tc>
          <w:tcPr>
            <w:tcW w:w="1000" w:type="pct"/>
            <w:tcBorders>
              <w:top w:val="single" w:sz="4" w:space="0" w:color="auto"/>
              <w:left w:val="nil"/>
              <w:bottom w:val="single" w:sz="4" w:space="0" w:color="auto"/>
              <w:right w:val="single" w:sz="4" w:space="0" w:color="auto"/>
            </w:tcBorders>
            <w:vAlign w:val="center"/>
            <w:hideMark/>
          </w:tcPr>
          <w:p w14:paraId="670515DA"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400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49242B0E"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0B949048"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500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5D6FC59D"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1,000</w:t>
            </w:r>
          </w:p>
        </w:tc>
      </w:tr>
      <w:tr w:rsidR="000B71EF" w:rsidRPr="00260922" w14:paraId="6803C2EC"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3BDD58C5"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2032/33</w:t>
            </w:r>
          </w:p>
        </w:tc>
        <w:tc>
          <w:tcPr>
            <w:tcW w:w="1000" w:type="pct"/>
            <w:tcBorders>
              <w:top w:val="single" w:sz="4" w:space="0" w:color="auto"/>
              <w:left w:val="nil"/>
              <w:bottom w:val="single" w:sz="4" w:space="0" w:color="auto"/>
              <w:right w:val="single" w:sz="4" w:space="0" w:color="auto"/>
            </w:tcBorders>
            <w:vAlign w:val="center"/>
            <w:hideMark/>
          </w:tcPr>
          <w:p w14:paraId="35A34A12"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300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545D5979"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1C3E54FF"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500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1E4F6C8B"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900</w:t>
            </w:r>
          </w:p>
        </w:tc>
      </w:tr>
      <w:tr w:rsidR="000B71EF" w:rsidRPr="00260922" w14:paraId="67F2499A"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7359BAF0"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2033/34</w:t>
            </w:r>
          </w:p>
        </w:tc>
        <w:tc>
          <w:tcPr>
            <w:tcW w:w="1000" w:type="pct"/>
            <w:tcBorders>
              <w:top w:val="single" w:sz="4" w:space="0" w:color="auto"/>
              <w:left w:val="nil"/>
              <w:bottom w:val="single" w:sz="4" w:space="0" w:color="auto"/>
              <w:right w:val="single" w:sz="4" w:space="0" w:color="auto"/>
            </w:tcBorders>
            <w:vAlign w:val="center"/>
            <w:hideMark/>
          </w:tcPr>
          <w:p w14:paraId="546575E8"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300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536934B3"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061794B1"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400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51AFFFB9"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900</w:t>
            </w:r>
          </w:p>
        </w:tc>
      </w:tr>
      <w:tr w:rsidR="000B71EF" w:rsidRPr="00260922" w14:paraId="3EC7F7BB"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54FE7A47"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2034/35</w:t>
            </w:r>
          </w:p>
        </w:tc>
        <w:tc>
          <w:tcPr>
            <w:tcW w:w="1000" w:type="pct"/>
            <w:tcBorders>
              <w:top w:val="single" w:sz="4" w:space="0" w:color="auto"/>
              <w:left w:val="nil"/>
              <w:bottom w:val="single" w:sz="4" w:space="0" w:color="auto"/>
              <w:right w:val="single" w:sz="4" w:space="0" w:color="auto"/>
            </w:tcBorders>
            <w:vAlign w:val="center"/>
            <w:hideMark/>
          </w:tcPr>
          <w:p w14:paraId="41A5CDC2"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300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10D36EC2"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1A4CD5CE"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400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10B304B3"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900</w:t>
            </w:r>
          </w:p>
        </w:tc>
      </w:tr>
    </w:tbl>
    <w:p w14:paraId="18779D53" w14:textId="77777777" w:rsidR="000B71EF" w:rsidRDefault="000B71EF" w:rsidP="000B71EF">
      <w:pPr>
        <w:spacing w:after="0"/>
        <w:jc w:val="right"/>
        <w:rPr>
          <w:b/>
          <w:bCs/>
          <w:color w:val="262626" w:themeColor="text1" w:themeTint="D9"/>
          <w:sz w:val="20"/>
        </w:rPr>
      </w:pPr>
      <w:r>
        <w:rPr>
          <w:color w:val="6D6E71" w:themeColor="accent3"/>
          <w:sz w:val="18"/>
          <w:szCs w:val="16"/>
        </w:rPr>
        <w:t>Source: Various, Cebr analysis</w:t>
      </w:r>
    </w:p>
    <w:p w14:paraId="3FDB2B34" w14:textId="77777777" w:rsidR="000B71EF" w:rsidRDefault="000B71EF" w:rsidP="000B71EF">
      <w:pPr>
        <w:spacing w:after="0"/>
        <w:rPr>
          <w:b/>
          <w:bCs/>
          <w:color w:val="262626" w:themeColor="text1" w:themeTint="D9"/>
          <w:sz w:val="20"/>
        </w:rPr>
      </w:pPr>
    </w:p>
    <w:p w14:paraId="5615509E" w14:textId="3AE41C97" w:rsidR="000B71EF" w:rsidRDefault="000B71EF" w:rsidP="000B71EF">
      <w:pPr>
        <w:pStyle w:val="Caption"/>
      </w:pPr>
      <w:r w:rsidRPr="00F46C41">
        <w:rPr>
          <w:color w:val="6D6E71" w:themeColor="accent3"/>
          <w:sz w:val="18"/>
        </w:rPr>
        <w:lastRenderedPageBreak/>
        <w:t xml:space="preserve">Table </w:t>
      </w:r>
      <w:r w:rsidRPr="00F46C41">
        <w:rPr>
          <w:color w:val="6D6E71" w:themeColor="accent3"/>
          <w:sz w:val="18"/>
        </w:rPr>
        <w:fldChar w:fldCharType="begin"/>
      </w:r>
      <w:r w:rsidRPr="00F46C41">
        <w:rPr>
          <w:color w:val="6D6E71" w:themeColor="accent3"/>
          <w:sz w:val="18"/>
        </w:rPr>
        <w:instrText xml:space="preserve"> SEQ Table \* ARABIC </w:instrText>
      </w:r>
      <w:r w:rsidRPr="00F46C41">
        <w:rPr>
          <w:color w:val="6D6E71" w:themeColor="accent3"/>
          <w:sz w:val="18"/>
        </w:rPr>
        <w:fldChar w:fldCharType="separate"/>
      </w:r>
      <w:r w:rsidR="004775B5">
        <w:rPr>
          <w:noProof/>
          <w:color w:val="6D6E71" w:themeColor="accent3"/>
          <w:sz w:val="18"/>
        </w:rPr>
        <w:t>12</w:t>
      </w:r>
      <w:r w:rsidRPr="00F46C41">
        <w:rPr>
          <w:color w:val="6D6E71" w:themeColor="accent3"/>
          <w:sz w:val="18"/>
        </w:rPr>
        <w:fldChar w:fldCharType="end"/>
      </w:r>
      <w:r w:rsidRPr="00015203">
        <w:rPr>
          <w:color w:val="6D6E71" w:themeColor="accent3"/>
          <w:sz w:val="18"/>
        </w:rPr>
        <w:t xml:space="preserve">: </w:t>
      </w:r>
      <w:r>
        <w:rPr>
          <w:color w:val="6D6E71" w:themeColor="accent3"/>
          <w:sz w:val="18"/>
        </w:rPr>
        <w:t>Scale of redeployment under high redeployment scenario (rounded to nearest 100s, totals may differ due to rounding)</w:t>
      </w:r>
    </w:p>
    <w:tbl>
      <w:tblPr>
        <w:tblW w:w="5000" w:type="pct"/>
        <w:jc w:val="center"/>
        <w:tblLook w:val="04A0" w:firstRow="1" w:lastRow="0" w:firstColumn="1" w:lastColumn="0" w:noHBand="0" w:noVBand="1"/>
        <w:tblCaption w:val="Table 12: Scale of redeployment under high redeployment scenario (rounded to nearest 100s, totals may differ due to rounding)"/>
        <w:tblDescription w:val="Table showing the estimated scale of workforce redeployment into retrofit roles under a high-redeployment scenario, broken down by direct, support, and supervisory roles, from 2025/26 to 2034/35."/>
      </w:tblPr>
      <w:tblGrid>
        <w:gridCol w:w="1807"/>
        <w:gridCol w:w="1809"/>
        <w:gridCol w:w="1807"/>
        <w:gridCol w:w="1809"/>
        <w:gridCol w:w="1808"/>
      </w:tblGrid>
      <w:tr w:rsidR="000B71EF" w:rsidRPr="00260922" w14:paraId="41098FF2" w14:textId="77777777" w:rsidTr="000B71EF">
        <w:trPr>
          <w:trHeight w:val="374"/>
          <w:jc w:val="center"/>
        </w:trPr>
        <w:tc>
          <w:tcPr>
            <w:tcW w:w="999" w:type="pct"/>
            <w:tcBorders>
              <w:top w:val="nil"/>
              <w:left w:val="nil"/>
              <w:bottom w:val="nil"/>
              <w:right w:val="nil"/>
            </w:tcBorders>
            <w:noWrap/>
            <w:vAlign w:val="bottom"/>
            <w:hideMark/>
          </w:tcPr>
          <w:p w14:paraId="0AC2985D" w14:textId="77777777" w:rsidR="000B71EF" w:rsidRPr="00260922" w:rsidRDefault="000B71EF" w:rsidP="003F418B">
            <w:pPr>
              <w:spacing w:after="0"/>
              <w:rPr>
                <w:rFonts w:eastAsia="Times New Roman"/>
                <w:color w:val="auto"/>
                <w:sz w:val="20"/>
                <w:lang w:eastAsia="en-GB"/>
              </w:rPr>
            </w:pPr>
          </w:p>
        </w:tc>
        <w:tc>
          <w:tcPr>
            <w:tcW w:w="1000" w:type="pct"/>
            <w:tcBorders>
              <w:top w:val="single" w:sz="8" w:space="0" w:color="auto"/>
              <w:left w:val="single" w:sz="8" w:space="0" w:color="auto"/>
              <w:bottom w:val="single" w:sz="4" w:space="0" w:color="auto"/>
              <w:right w:val="single" w:sz="4" w:space="0" w:color="auto"/>
            </w:tcBorders>
            <w:shd w:val="clear" w:color="000000" w:fill="00464D"/>
            <w:vAlign w:val="center"/>
            <w:hideMark/>
          </w:tcPr>
          <w:p w14:paraId="665BEEE4" w14:textId="77777777" w:rsidR="000B71EF" w:rsidRPr="00260922" w:rsidRDefault="000B71EF" w:rsidP="003F418B">
            <w:pPr>
              <w:spacing w:after="0"/>
              <w:jc w:val="center"/>
              <w:rPr>
                <w:rFonts w:eastAsia="Times New Roman" w:cs="Calibri"/>
                <w:b/>
                <w:bCs/>
                <w:color w:val="FFFFFF"/>
                <w:sz w:val="20"/>
                <w:lang w:eastAsia="en-GB"/>
              </w:rPr>
            </w:pPr>
            <w:r w:rsidRPr="00260922">
              <w:rPr>
                <w:rFonts w:eastAsia="Times New Roman" w:cs="Calibri"/>
                <w:b/>
                <w:bCs/>
                <w:color w:val="FFFFFF"/>
                <w:sz w:val="20"/>
                <w:lang w:eastAsia="en-GB"/>
              </w:rPr>
              <w:t>Direct</w:t>
            </w:r>
          </w:p>
        </w:tc>
        <w:tc>
          <w:tcPr>
            <w:tcW w:w="999" w:type="pct"/>
            <w:tcBorders>
              <w:top w:val="single" w:sz="8" w:space="0" w:color="auto"/>
              <w:left w:val="nil"/>
              <w:bottom w:val="single" w:sz="4" w:space="0" w:color="auto"/>
              <w:right w:val="single" w:sz="4" w:space="0" w:color="auto"/>
            </w:tcBorders>
            <w:shd w:val="clear" w:color="000000" w:fill="00464D"/>
            <w:vAlign w:val="center"/>
            <w:hideMark/>
          </w:tcPr>
          <w:p w14:paraId="6FE88920" w14:textId="77777777" w:rsidR="000B71EF" w:rsidRPr="00260922" w:rsidRDefault="000B71EF" w:rsidP="003F418B">
            <w:pPr>
              <w:spacing w:after="0"/>
              <w:jc w:val="center"/>
              <w:rPr>
                <w:rFonts w:eastAsia="Times New Roman" w:cs="Calibri"/>
                <w:b/>
                <w:bCs/>
                <w:color w:val="FFFFFF"/>
                <w:sz w:val="20"/>
                <w:lang w:eastAsia="en-GB"/>
              </w:rPr>
            </w:pPr>
            <w:r w:rsidRPr="00260922">
              <w:rPr>
                <w:rFonts w:eastAsia="Times New Roman" w:cs="Calibri"/>
                <w:b/>
                <w:bCs/>
                <w:color w:val="FFFFFF"/>
                <w:sz w:val="20"/>
                <w:lang w:eastAsia="en-GB"/>
              </w:rPr>
              <w:t>Support</w:t>
            </w:r>
          </w:p>
        </w:tc>
        <w:tc>
          <w:tcPr>
            <w:tcW w:w="1000" w:type="pct"/>
            <w:tcBorders>
              <w:top w:val="single" w:sz="8" w:space="0" w:color="auto"/>
              <w:left w:val="nil"/>
              <w:bottom w:val="single" w:sz="4" w:space="0" w:color="auto"/>
              <w:right w:val="single" w:sz="4" w:space="0" w:color="auto"/>
            </w:tcBorders>
            <w:shd w:val="clear" w:color="000000" w:fill="00464D"/>
            <w:vAlign w:val="center"/>
            <w:hideMark/>
          </w:tcPr>
          <w:p w14:paraId="46E18AD5" w14:textId="77777777" w:rsidR="000B71EF" w:rsidRPr="00260922" w:rsidRDefault="000B71EF" w:rsidP="003F418B">
            <w:pPr>
              <w:spacing w:after="0"/>
              <w:jc w:val="center"/>
              <w:rPr>
                <w:rFonts w:eastAsia="Times New Roman" w:cs="Calibri"/>
                <w:b/>
                <w:bCs/>
                <w:color w:val="FFFFFF"/>
                <w:sz w:val="20"/>
                <w:lang w:eastAsia="en-GB"/>
              </w:rPr>
            </w:pPr>
            <w:r w:rsidRPr="00260922">
              <w:rPr>
                <w:rFonts w:eastAsia="Times New Roman" w:cs="Calibri"/>
                <w:b/>
                <w:bCs/>
                <w:color w:val="FFFFFF"/>
                <w:sz w:val="20"/>
                <w:lang w:eastAsia="en-GB"/>
              </w:rPr>
              <w:t>Supervisory</w:t>
            </w:r>
          </w:p>
        </w:tc>
        <w:tc>
          <w:tcPr>
            <w:tcW w:w="1000" w:type="pct"/>
            <w:tcBorders>
              <w:top w:val="single" w:sz="8" w:space="0" w:color="auto"/>
              <w:left w:val="nil"/>
              <w:bottom w:val="single" w:sz="4" w:space="0" w:color="auto"/>
              <w:right w:val="single" w:sz="8" w:space="0" w:color="auto"/>
            </w:tcBorders>
            <w:shd w:val="clear" w:color="000000" w:fill="00464D"/>
            <w:vAlign w:val="center"/>
            <w:hideMark/>
          </w:tcPr>
          <w:p w14:paraId="5597F11C" w14:textId="77777777" w:rsidR="000B71EF" w:rsidRPr="00260922" w:rsidRDefault="000B71EF" w:rsidP="003F418B">
            <w:pPr>
              <w:spacing w:after="0"/>
              <w:jc w:val="center"/>
              <w:rPr>
                <w:rFonts w:eastAsia="Times New Roman" w:cs="Calibri"/>
                <w:b/>
                <w:bCs/>
                <w:color w:val="FFFFFF"/>
                <w:sz w:val="20"/>
                <w:lang w:eastAsia="en-GB"/>
              </w:rPr>
            </w:pPr>
            <w:r w:rsidRPr="00260922">
              <w:rPr>
                <w:rFonts w:eastAsia="Times New Roman" w:cs="Calibri"/>
                <w:b/>
                <w:bCs/>
                <w:color w:val="FFFFFF"/>
                <w:sz w:val="20"/>
                <w:lang w:eastAsia="en-GB"/>
              </w:rPr>
              <w:t>Total</w:t>
            </w:r>
          </w:p>
        </w:tc>
      </w:tr>
      <w:tr w:rsidR="000B71EF" w:rsidRPr="00260922" w14:paraId="07D596DA" w14:textId="77777777" w:rsidTr="000B71EF">
        <w:trPr>
          <w:trHeight w:val="374"/>
          <w:jc w:val="center"/>
        </w:trPr>
        <w:tc>
          <w:tcPr>
            <w:tcW w:w="999" w:type="pct"/>
            <w:tcBorders>
              <w:top w:val="single" w:sz="8" w:space="0" w:color="auto"/>
              <w:left w:val="single" w:sz="8" w:space="0" w:color="auto"/>
              <w:bottom w:val="single" w:sz="8" w:space="0" w:color="auto"/>
              <w:right w:val="single" w:sz="4" w:space="0" w:color="auto"/>
            </w:tcBorders>
            <w:shd w:val="clear" w:color="000000" w:fill="00464D"/>
            <w:vAlign w:val="center"/>
            <w:hideMark/>
          </w:tcPr>
          <w:p w14:paraId="26E40969"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2025/26</w:t>
            </w:r>
          </w:p>
        </w:tc>
        <w:tc>
          <w:tcPr>
            <w:tcW w:w="1000" w:type="pct"/>
            <w:tcBorders>
              <w:top w:val="single" w:sz="4" w:space="0" w:color="auto"/>
              <w:left w:val="nil"/>
              <w:bottom w:val="single" w:sz="4" w:space="0" w:color="auto"/>
              <w:right w:val="single" w:sz="4" w:space="0" w:color="auto"/>
            </w:tcBorders>
            <w:vAlign w:val="center"/>
            <w:hideMark/>
          </w:tcPr>
          <w:p w14:paraId="1549DA76"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800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4D4EA820"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5D94A37F"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1,100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2A51311B"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2,300</w:t>
            </w:r>
          </w:p>
        </w:tc>
      </w:tr>
      <w:tr w:rsidR="000B71EF" w:rsidRPr="00260922" w14:paraId="384A4B0B"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2808EBF5"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2026/27</w:t>
            </w:r>
          </w:p>
        </w:tc>
        <w:tc>
          <w:tcPr>
            <w:tcW w:w="1000" w:type="pct"/>
            <w:tcBorders>
              <w:top w:val="single" w:sz="4" w:space="0" w:color="auto"/>
              <w:left w:val="nil"/>
              <w:bottom w:val="single" w:sz="4" w:space="0" w:color="auto"/>
              <w:right w:val="single" w:sz="4" w:space="0" w:color="auto"/>
            </w:tcBorders>
            <w:vAlign w:val="center"/>
            <w:hideMark/>
          </w:tcPr>
          <w:p w14:paraId="7950E9C5"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800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30252D9E"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1D53D467"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1,100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34082A44"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2,200</w:t>
            </w:r>
          </w:p>
        </w:tc>
      </w:tr>
      <w:tr w:rsidR="000B71EF" w:rsidRPr="00260922" w14:paraId="73DD6EBA"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152DC4C2"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2027/28</w:t>
            </w:r>
          </w:p>
        </w:tc>
        <w:tc>
          <w:tcPr>
            <w:tcW w:w="1000" w:type="pct"/>
            <w:tcBorders>
              <w:top w:val="single" w:sz="4" w:space="0" w:color="auto"/>
              <w:left w:val="nil"/>
              <w:bottom w:val="single" w:sz="4" w:space="0" w:color="auto"/>
              <w:right w:val="single" w:sz="4" w:space="0" w:color="auto"/>
            </w:tcBorders>
            <w:vAlign w:val="center"/>
            <w:hideMark/>
          </w:tcPr>
          <w:p w14:paraId="17E1FF33"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800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54080E42"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5417E5CC"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1,100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33D7AB8F"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2,200</w:t>
            </w:r>
          </w:p>
        </w:tc>
      </w:tr>
      <w:tr w:rsidR="000B71EF" w:rsidRPr="00260922" w14:paraId="357FC258"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10EDD759"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2028/29</w:t>
            </w:r>
          </w:p>
        </w:tc>
        <w:tc>
          <w:tcPr>
            <w:tcW w:w="1000" w:type="pct"/>
            <w:tcBorders>
              <w:top w:val="single" w:sz="4" w:space="0" w:color="auto"/>
              <w:left w:val="nil"/>
              <w:bottom w:val="single" w:sz="4" w:space="0" w:color="auto"/>
              <w:right w:val="single" w:sz="4" w:space="0" w:color="auto"/>
            </w:tcBorders>
            <w:vAlign w:val="center"/>
            <w:hideMark/>
          </w:tcPr>
          <w:p w14:paraId="0F6B3BE4"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800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1FE5430A"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3949ACBA"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1,000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5A742A18"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2,100</w:t>
            </w:r>
          </w:p>
        </w:tc>
      </w:tr>
      <w:tr w:rsidR="000B71EF" w:rsidRPr="00260922" w14:paraId="494A3FE7"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014F8BD4"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2029/30</w:t>
            </w:r>
          </w:p>
        </w:tc>
        <w:tc>
          <w:tcPr>
            <w:tcW w:w="1000" w:type="pct"/>
            <w:tcBorders>
              <w:top w:val="single" w:sz="4" w:space="0" w:color="auto"/>
              <w:left w:val="nil"/>
              <w:bottom w:val="single" w:sz="4" w:space="0" w:color="auto"/>
              <w:right w:val="single" w:sz="4" w:space="0" w:color="auto"/>
            </w:tcBorders>
            <w:vAlign w:val="center"/>
            <w:hideMark/>
          </w:tcPr>
          <w:p w14:paraId="63B40008"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700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0B721FB5"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343717CE"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1,000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40990464"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2,000</w:t>
            </w:r>
          </w:p>
        </w:tc>
      </w:tr>
      <w:tr w:rsidR="000B71EF" w:rsidRPr="00260922" w14:paraId="1E936149"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40825703"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2030/31</w:t>
            </w:r>
          </w:p>
        </w:tc>
        <w:tc>
          <w:tcPr>
            <w:tcW w:w="1000" w:type="pct"/>
            <w:tcBorders>
              <w:top w:val="single" w:sz="4" w:space="0" w:color="auto"/>
              <w:left w:val="nil"/>
              <w:bottom w:val="single" w:sz="4" w:space="0" w:color="auto"/>
              <w:right w:val="single" w:sz="4" w:space="0" w:color="auto"/>
            </w:tcBorders>
            <w:vAlign w:val="center"/>
            <w:hideMark/>
          </w:tcPr>
          <w:p w14:paraId="6350DC9D"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700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302C5AAA"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309EE741"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1,000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5B1A64A1"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2,000</w:t>
            </w:r>
          </w:p>
        </w:tc>
      </w:tr>
      <w:tr w:rsidR="000B71EF" w:rsidRPr="00260922" w14:paraId="1CFFD587"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1707FD79"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2031/32</w:t>
            </w:r>
          </w:p>
        </w:tc>
        <w:tc>
          <w:tcPr>
            <w:tcW w:w="1000" w:type="pct"/>
            <w:tcBorders>
              <w:top w:val="single" w:sz="4" w:space="0" w:color="auto"/>
              <w:left w:val="nil"/>
              <w:bottom w:val="single" w:sz="4" w:space="0" w:color="auto"/>
              <w:right w:val="single" w:sz="4" w:space="0" w:color="auto"/>
            </w:tcBorders>
            <w:vAlign w:val="center"/>
            <w:hideMark/>
          </w:tcPr>
          <w:p w14:paraId="2893B72B"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700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45E6A68A"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3C8FE5A2"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900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77694819"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1,900</w:t>
            </w:r>
          </w:p>
        </w:tc>
      </w:tr>
      <w:tr w:rsidR="000B71EF" w:rsidRPr="00260922" w14:paraId="4E85F979"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1DAF6BFE"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2032/33</w:t>
            </w:r>
          </w:p>
        </w:tc>
        <w:tc>
          <w:tcPr>
            <w:tcW w:w="1000" w:type="pct"/>
            <w:tcBorders>
              <w:top w:val="single" w:sz="4" w:space="0" w:color="auto"/>
              <w:left w:val="nil"/>
              <w:bottom w:val="single" w:sz="4" w:space="0" w:color="auto"/>
              <w:right w:val="single" w:sz="4" w:space="0" w:color="auto"/>
            </w:tcBorders>
            <w:vAlign w:val="center"/>
            <w:hideMark/>
          </w:tcPr>
          <w:p w14:paraId="6DCEC1D8"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700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2FEF5BC1"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0C9FBE54"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900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67554D5E"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1,900</w:t>
            </w:r>
          </w:p>
        </w:tc>
      </w:tr>
      <w:tr w:rsidR="000B71EF" w:rsidRPr="00260922" w14:paraId="117A7AF0"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04C06722"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2033/34</w:t>
            </w:r>
          </w:p>
        </w:tc>
        <w:tc>
          <w:tcPr>
            <w:tcW w:w="1000" w:type="pct"/>
            <w:tcBorders>
              <w:top w:val="single" w:sz="4" w:space="0" w:color="auto"/>
              <w:left w:val="nil"/>
              <w:bottom w:val="single" w:sz="4" w:space="0" w:color="auto"/>
              <w:right w:val="single" w:sz="4" w:space="0" w:color="auto"/>
            </w:tcBorders>
            <w:vAlign w:val="center"/>
            <w:hideMark/>
          </w:tcPr>
          <w:p w14:paraId="64414476"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700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36EC5D27"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24BE656E"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900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3745F2A5"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1,800</w:t>
            </w:r>
          </w:p>
        </w:tc>
      </w:tr>
      <w:tr w:rsidR="000B71EF" w:rsidRPr="00260922" w14:paraId="5AD22AC7" w14:textId="77777777" w:rsidTr="000B71EF">
        <w:trPr>
          <w:trHeight w:val="374"/>
          <w:jc w:val="center"/>
        </w:trPr>
        <w:tc>
          <w:tcPr>
            <w:tcW w:w="999" w:type="pct"/>
            <w:tcBorders>
              <w:top w:val="nil"/>
              <w:left w:val="single" w:sz="8" w:space="0" w:color="auto"/>
              <w:bottom w:val="single" w:sz="8" w:space="0" w:color="auto"/>
              <w:right w:val="single" w:sz="4" w:space="0" w:color="auto"/>
            </w:tcBorders>
            <w:shd w:val="clear" w:color="000000" w:fill="00464D"/>
            <w:vAlign w:val="center"/>
            <w:hideMark/>
          </w:tcPr>
          <w:p w14:paraId="22CAF83F" w14:textId="77777777" w:rsidR="000B71EF" w:rsidRPr="00260922" w:rsidRDefault="000B71EF" w:rsidP="003F418B">
            <w:pPr>
              <w:spacing w:after="0"/>
              <w:jc w:val="center"/>
              <w:rPr>
                <w:rFonts w:eastAsia="Times New Roman" w:cs="Calibri"/>
                <w:b/>
                <w:bCs/>
                <w:color w:val="FFFFFF"/>
                <w:sz w:val="20"/>
                <w:lang w:eastAsia="en-GB"/>
              </w:rPr>
            </w:pPr>
            <w:r>
              <w:rPr>
                <w:rFonts w:eastAsia="Times New Roman" w:cs="Calibri"/>
                <w:b/>
                <w:bCs/>
                <w:color w:val="FFFFFF"/>
                <w:sz w:val="20"/>
                <w:lang w:eastAsia="en-GB"/>
              </w:rPr>
              <w:t>2034/35</w:t>
            </w:r>
          </w:p>
        </w:tc>
        <w:tc>
          <w:tcPr>
            <w:tcW w:w="1000" w:type="pct"/>
            <w:tcBorders>
              <w:top w:val="single" w:sz="4" w:space="0" w:color="auto"/>
              <w:left w:val="nil"/>
              <w:bottom w:val="single" w:sz="4" w:space="0" w:color="auto"/>
              <w:right w:val="single" w:sz="4" w:space="0" w:color="auto"/>
            </w:tcBorders>
            <w:vAlign w:val="center"/>
            <w:hideMark/>
          </w:tcPr>
          <w:p w14:paraId="5FA23F0F"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700</w:t>
            </w:r>
          </w:p>
        </w:tc>
        <w:tc>
          <w:tcPr>
            <w:tcW w:w="999" w:type="pct"/>
            <w:tcBorders>
              <w:top w:val="single" w:sz="4" w:space="0" w:color="auto"/>
              <w:left w:val="single" w:sz="4" w:space="0" w:color="auto"/>
              <w:bottom w:val="single" w:sz="4" w:space="0" w:color="auto"/>
              <w:right w:val="single" w:sz="4" w:space="0" w:color="auto"/>
            </w:tcBorders>
            <w:vAlign w:val="center"/>
            <w:hideMark/>
          </w:tcPr>
          <w:p w14:paraId="6E5A08CC"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300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0F107EF6"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900</w:t>
            </w:r>
          </w:p>
        </w:tc>
        <w:tc>
          <w:tcPr>
            <w:tcW w:w="1000" w:type="pct"/>
            <w:tcBorders>
              <w:top w:val="single" w:sz="4" w:space="0" w:color="auto"/>
              <w:left w:val="single" w:sz="4" w:space="0" w:color="auto"/>
              <w:bottom w:val="single" w:sz="4" w:space="0" w:color="auto"/>
              <w:right w:val="single" w:sz="4" w:space="0" w:color="auto"/>
            </w:tcBorders>
            <w:vAlign w:val="center"/>
            <w:hideMark/>
          </w:tcPr>
          <w:p w14:paraId="06E358CB" w14:textId="77777777" w:rsidR="000B71EF" w:rsidRPr="00E343A8" w:rsidRDefault="000B71EF" w:rsidP="003F418B">
            <w:pPr>
              <w:spacing w:after="0"/>
              <w:jc w:val="center"/>
              <w:rPr>
                <w:rFonts w:eastAsia="Times New Roman"/>
                <w:color w:val="000000" w:themeColor="text1"/>
                <w:sz w:val="20"/>
                <w:lang w:eastAsia="en-GB"/>
              </w:rPr>
            </w:pPr>
            <w:r w:rsidRPr="00E343A8">
              <w:rPr>
                <w:rFonts w:cs="Calibri"/>
                <w:color w:val="000000"/>
                <w:sz w:val="20"/>
              </w:rPr>
              <w:t>1,800</w:t>
            </w:r>
          </w:p>
        </w:tc>
      </w:tr>
    </w:tbl>
    <w:p w14:paraId="4948140B" w14:textId="56DBFD53" w:rsidR="000B71EF" w:rsidRDefault="000B71EF" w:rsidP="000B71EF">
      <w:pPr>
        <w:spacing w:after="0"/>
        <w:jc w:val="right"/>
        <w:rPr>
          <w:color w:val="404040" w:themeColor="text1" w:themeTint="BF"/>
        </w:rPr>
      </w:pPr>
      <w:r>
        <w:rPr>
          <w:color w:val="6D6E71" w:themeColor="accent3"/>
          <w:sz w:val="18"/>
          <w:szCs w:val="16"/>
        </w:rPr>
        <w:t>Source: Various, Cebr analysis</w:t>
      </w:r>
    </w:p>
    <w:p w14:paraId="6D5E8CD2" w14:textId="77777777" w:rsidR="000B71EF" w:rsidRDefault="000B71EF" w:rsidP="000B71EF">
      <w:pPr>
        <w:spacing w:after="120" w:line="278" w:lineRule="auto"/>
        <w:jc w:val="both"/>
        <w:rPr>
          <w:color w:val="404040" w:themeColor="text1" w:themeTint="BF"/>
        </w:rPr>
      </w:pPr>
    </w:p>
    <w:p w14:paraId="2442ABAD" w14:textId="6F303C02" w:rsidR="00B64D7C" w:rsidRDefault="00B64D7C" w:rsidP="000B71EF">
      <w:pPr>
        <w:spacing w:after="120" w:line="278" w:lineRule="auto"/>
        <w:jc w:val="both"/>
        <w:rPr>
          <w:color w:val="404040" w:themeColor="text1" w:themeTint="BF"/>
        </w:rPr>
      </w:pPr>
      <w:r>
        <w:t xml:space="preserve">Tables </w:t>
      </w:r>
      <w:r w:rsidR="00236ADA">
        <w:t>11</w:t>
      </w:r>
      <w:r w:rsidR="00167C62">
        <w:t xml:space="preserve"> and 12</w:t>
      </w:r>
      <w:r>
        <w:t xml:space="preserve"> summarise the implied scale of redeployment under the low and high redeployment scenarios. Even under the more optimistic assumption of high redeployment potential, redeployment contributes only a modest number of workers relative to overall labour demand. At its peak, high redeployment provides fewer than 2,500 workers per year across direct, support, and supervisory roles combined. This reinforces the conclusion that redeployment can alleviate workforce pressures at the margin but is likely not sufficient to close any workforce gaps on its own.</w:t>
      </w:r>
    </w:p>
    <w:p w14:paraId="45513ED0" w14:textId="44BC024F" w:rsidR="00B97591" w:rsidRDefault="003F6411" w:rsidP="000B71EF">
      <w:pPr>
        <w:spacing w:after="120" w:line="278" w:lineRule="auto"/>
        <w:jc w:val="both"/>
        <w:rPr>
          <w:color w:val="404040" w:themeColor="text1" w:themeTint="BF"/>
        </w:rPr>
      </w:pPr>
      <w:r w:rsidRPr="00B45EC8">
        <w:rPr>
          <w:color w:val="404040" w:themeColor="text1" w:themeTint="BF"/>
        </w:rPr>
        <w:t>Applying these assumptions to the identified adjacent workforce in Wales yields an indicative upper-bound estimate of workers who could be available for retrofit-related activity in a given year. This assumption is deliberately optimistic, abstracting from barriers such as certification requirements, wage differentials, project continuity, and employer coordination, all of which would be expected to limit realised redeployment in practice.</w:t>
      </w:r>
      <w:r>
        <w:rPr>
          <w:color w:val="404040" w:themeColor="text1" w:themeTint="BF"/>
        </w:rPr>
        <w:t xml:space="preserve"> </w:t>
      </w:r>
    </w:p>
    <w:p w14:paraId="55FA4E99" w14:textId="6B104859" w:rsidR="0095593E" w:rsidRDefault="00B432D0" w:rsidP="00B432D0">
      <w:pPr>
        <w:spacing w:after="120" w:line="278" w:lineRule="auto"/>
        <w:jc w:val="both"/>
      </w:pPr>
      <w:r>
        <w:t xml:space="preserve">Notwithstanding these limitations, redeployment represents the largest potential upward contribution to labour supply among the channels considered in this report. Even under conservative transfer rates of 1% to 2% per annum, redeployment from adjacent occupations generates a larger supply response than apprenticeship inflows or reductions in cross-border out-commuting. </w:t>
      </w:r>
      <w:r w:rsidR="0095593E">
        <w:t>When considered alongside the size of the adjacent workforce identified in this report, estimated at around 115,000 workers, this points to substantial latent potential</w:t>
      </w:r>
      <w:r w:rsidR="0095419B">
        <w:t>.</w:t>
      </w:r>
      <w:r w:rsidR="0095593E">
        <w:t xml:space="preserve"> </w:t>
      </w:r>
    </w:p>
    <w:p w14:paraId="22EEBA73" w14:textId="2D84AD55" w:rsidR="00B432D0" w:rsidRPr="00B432D0" w:rsidRDefault="00B432D0" w:rsidP="00B432D0">
      <w:pPr>
        <w:spacing w:after="120" w:line="278" w:lineRule="auto"/>
        <w:jc w:val="both"/>
        <w:rPr>
          <w:color w:val="404040" w:themeColor="text1" w:themeTint="BF"/>
        </w:rPr>
      </w:pPr>
      <w:r>
        <w:t>If transfer rates could be increased beyond those assumed here through targeted retraining, streamlined accreditation, and stronger coordination, redeployment could play a more substantive role in expanding the effective retrofit workforce, making it the most flexible supply-side lever within the labour supply framework.</w:t>
      </w:r>
    </w:p>
    <w:p w14:paraId="475BDE13" w14:textId="72880390" w:rsidR="00EF0567" w:rsidRDefault="719CA948" w:rsidP="096B2833">
      <w:pPr>
        <w:pStyle w:val="Heading1"/>
        <w:numPr>
          <w:ilvl w:val="0"/>
          <w:numId w:val="10"/>
        </w:numPr>
        <w:spacing w:after="120" w:line="278" w:lineRule="auto"/>
        <w:ind w:right="-4913"/>
        <w:rPr>
          <w:rFonts w:ascii="Helvetica Neue LT Std 65 Medium" w:hAnsi="Helvetica Neue LT Std 65 Medium"/>
        </w:rPr>
      </w:pPr>
      <w:bookmarkStart w:id="30" w:name="_Toc221182665"/>
      <w:r w:rsidRPr="096B2833">
        <w:rPr>
          <w:rFonts w:ascii="Helvetica Neue LT Std 65 Medium" w:hAnsi="Helvetica Neue LT Std 65 Medium"/>
        </w:rPr>
        <w:lastRenderedPageBreak/>
        <w:t xml:space="preserve">Workforce </w:t>
      </w:r>
      <w:r w:rsidR="321A51DE" w:rsidRPr="096B2833">
        <w:rPr>
          <w:rFonts w:ascii="Helvetica Neue LT Std 65 Medium" w:hAnsi="Helvetica Neue LT Std 65 Medium"/>
        </w:rPr>
        <w:t>g</w:t>
      </w:r>
      <w:r w:rsidRPr="096B2833">
        <w:rPr>
          <w:rFonts w:ascii="Helvetica Neue LT Std 65 Medium" w:hAnsi="Helvetica Neue LT Std 65 Medium"/>
        </w:rPr>
        <w:t>ap</w:t>
      </w:r>
      <w:r w:rsidR="321A51DE" w:rsidRPr="096B2833">
        <w:rPr>
          <w:rFonts w:ascii="Helvetica Neue LT Std 65 Medium" w:hAnsi="Helvetica Neue LT Std 65 Medium"/>
        </w:rPr>
        <w:t>s under different scenarios</w:t>
      </w:r>
      <w:bookmarkEnd w:id="30"/>
    </w:p>
    <w:p w14:paraId="6EF297AB" w14:textId="028C99A7" w:rsidR="00DE3E8F" w:rsidRDefault="00DE3E8F" w:rsidP="00DE3E8F">
      <w:pPr>
        <w:spacing w:after="120" w:line="278" w:lineRule="auto"/>
        <w:jc w:val="both"/>
      </w:pPr>
      <w:r w:rsidRPr="00DE3E8F">
        <w:t>Workforce gaps are defined in this analysis as the difference between projected labour demand and available labour supply</w:t>
      </w:r>
      <w:r>
        <w:t>, and can be illustrated via the simple equation below:</w:t>
      </w:r>
    </w:p>
    <w:p w14:paraId="0EA1E145" w14:textId="54106255" w:rsidR="00DE3E8F" w:rsidRDefault="00DE3E8F" w:rsidP="004F1ECA">
      <w:pPr>
        <w:spacing w:after="120" w:line="278" w:lineRule="auto"/>
      </w:pPr>
      <m:oMathPara>
        <m:oMath>
          <m:r>
            <w:rPr>
              <w:rFonts w:ascii="Cambria Math" w:hAnsi="Cambria Math"/>
            </w:rPr>
            <m:t>Workforce gap=Projected labour demand-Projected labour supply</m:t>
          </m:r>
        </m:oMath>
      </m:oMathPara>
    </w:p>
    <w:p w14:paraId="5E5E19F4" w14:textId="53465DCE" w:rsidR="00DE3E8F" w:rsidRDefault="00DE3E8F" w:rsidP="00DE3E8F">
      <w:pPr>
        <w:spacing w:after="120" w:line="278" w:lineRule="auto"/>
        <w:jc w:val="both"/>
      </w:pPr>
      <w:r w:rsidRPr="00DE3E8F">
        <w:t>Positive values therefore indicate a shortfall in workers relative to the level required to deliver retrofit activity in a given year</w:t>
      </w:r>
      <w:r>
        <w:t>, whereas negative values indicate a surplus</w:t>
      </w:r>
      <w:r w:rsidRPr="00DE3E8F">
        <w:t>. These gaps reflect the combined effect of rising demand for retrofit delivery and constraints on labour supply arising from training capacity, replacement demand, and cross-border commuting.</w:t>
      </w:r>
    </w:p>
    <w:p w14:paraId="18C91F97" w14:textId="77777777" w:rsidR="00EE5A67" w:rsidRDefault="00EE5A67" w:rsidP="00EE5A67">
      <w:pPr>
        <w:spacing w:after="120" w:line="278" w:lineRule="auto"/>
        <w:jc w:val="both"/>
      </w:pPr>
      <w:r w:rsidRPr="00EE5A67">
        <w:t>The following sub-sections set out the projected evolution of workforce gaps over time under each labour demand scenario. For consistency and comparability, all workforce gap estimates presented below are derived using the labour supply projections shown in Table 7. These projections assume:</w:t>
      </w:r>
    </w:p>
    <w:p w14:paraId="7674635D" w14:textId="509254B9" w:rsidR="00EE5A67" w:rsidRPr="00EE5A67" w:rsidRDefault="00EE5A67" w:rsidP="00EE5A67">
      <w:pPr>
        <w:pStyle w:val="ListParagraph"/>
        <w:numPr>
          <w:ilvl w:val="0"/>
          <w:numId w:val="37"/>
        </w:numPr>
        <w:spacing w:after="120" w:line="278" w:lineRule="auto"/>
        <w:jc w:val="both"/>
        <w:rPr>
          <w:color w:val="404040" w:themeColor="text1" w:themeTint="BF"/>
        </w:rPr>
      </w:pPr>
      <w:r w:rsidRPr="00EE5A67">
        <w:rPr>
          <w:color w:val="404040" w:themeColor="text1" w:themeTint="BF"/>
        </w:rPr>
        <w:t xml:space="preserve">Apprenticeship funding growing </w:t>
      </w:r>
      <w:r w:rsidRPr="00EE5A67">
        <w:rPr>
          <w:b/>
          <w:bCs/>
          <w:color w:val="404040" w:themeColor="text1" w:themeTint="BF"/>
        </w:rPr>
        <w:t>at 2% per annum in nominal terms beyond 2026/27</w:t>
      </w:r>
      <w:r w:rsidRPr="00EE5A67">
        <w:rPr>
          <w:color w:val="404040" w:themeColor="text1" w:themeTint="BF"/>
        </w:rPr>
        <w:t>;</w:t>
      </w:r>
    </w:p>
    <w:p w14:paraId="6A14D5D4" w14:textId="77777777" w:rsidR="00EE5A67" w:rsidRPr="00B45EC8" w:rsidRDefault="00EE5A67" w:rsidP="00EE5A67">
      <w:pPr>
        <w:pStyle w:val="ListParagraph"/>
        <w:numPr>
          <w:ilvl w:val="0"/>
          <w:numId w:val="35"/>
        </w:numPr>
        <w:spacing w:after="120" w:line="278" w:lineRule="auto"/>
        <w:jc w:val="both"/>
        <w:rPr>
          <w:color w:val="404040" w:themeColor="text1" w:themeTint="BF"/>
        </w:rPr>
      </w:pPr>
      <w:r w:rsidRPr="003F6411">
        <w:rPr>
          <w:b/>
          <w:bCs/>
          <w:color w:val="404040" w:themeColor="text1" w:themeTint="BF"/>
        </w:rPr>
        <w:t>No redeployment</w:t>
      </w:r>
      <w:r w:rsidRPr="00B45EC8">
        <w:rPr>
          <w:color w:val="404040" w:themeColor="text1" w:themeTint="BF"/>
        </w:rPr>
        <w:t xml:space="preserve"> contribution from adjacent occupations;</w:t>
      </w:r>
      <w:r>
        <w:rPr>
          <w:color w:val="404040" w:themeColor="text1" w:themeTint="BF"/>
        </w:rPr>
        <w:t xml:space="preserve"> and</w:t>
      </w:r>
    </w:p>
    <w:p w14:paraId="3C5C0759" w14:textId="77777777" w:rsidR="00EE5A67" w:rsidRPr="002F2747" w:rsidRDefault="00EE5A67" w:rsidP="00EE5A67">
      <w:pPr>
        <w:pStyle w:val="ListParagraph"/>
        <w:numPr>
          <w:ilvl w:val="0"/>
          <w:numId w:val="35"/>
        </w:numPr>
        <w:spacing w:after="120" w:line="278" w:lineRule="auto"/>
        <w:jc w:val="both"/>
        <w:rPr>
          <w:color w:val="595959" w:themeColor="text1" w:themeTint="A6"/>
        </w:rPr>
      </w:pPr>
      <w:r w:rsidRPr="00B45EC8">
        <w:rPr>
          <w:color w:val="404040" w:themeColor="text1" w:themeTint="BF"/>
        </w:rPr>
        <w:t xml:space="preserve">Continuation of </w:t>
      </w:r>
      <w:r w:rsidRPr="003F6411">
        <w:rPr>
          <w:b/>
          <w:bCs/>
          <w:color w:val="404040" w:themeColor="text1" w:themeTint="BF"/>
        </w:rPr>
        <w:t>historic trends in out-commuting</w:t>
      </w:r>
      <w:r w:rsidRPr="00B45EC8">
        <w:rPr>
          <w:color w:val="404040" w:themeColor="text1" w:themeTint="BF"/>
        </w:rPr>
        <w:t xml:space="preserve"> to England</w:t>
      </w:r>
      <w:r>
        <w:rPr>
          <w:color w:val="404040" w:themeColor="text1" w:themeTint="BF"/>
        </w:rPr>
        <w:t xml:space="preserve"> for work</w:t>
      </w:r>
      <w:r w:rsidRPr="002F2747">
        <w:rPr>
          <w:color w:val="595959" w:themeColor="text1" w:themeTint="A6"/>
        </w:rPr>
        <w:t>.</w:t>
      </w:r>
    </w:p>
    <w:p w14:paraId="0CD438F1" w14:textId="1BECFE01" w:rsidR="00DE3E8F" w:rsidRDefault="00EE5A67" w:rsidP="00286FCC">
      <w:pPr>
        <w:pStyle w:val="Heading2"/>
        <w:spacing w:line="278" w:lineRule="auto"/>
      </w:pPr>
      <w:bookmarkStart w:id="31" w:name="_Toc221182666"/>
      <w:r>
        <w:t>Base labour demand scenario</w:t>
      </w:r>
      <w:bookmarkEnd w:id="31"/>
    </w:p>
    <w:p w14:paraId="60DA63B3" w14:textId="680DE55A" w:rsidR="00D07926" w:rsidRDefault="00286FCC" w:rsidP="00D07926">
      <w:pPr>
        <w:pStyle w:val="Caption"/>
        <w:rPr>
          <w:noProof/>
        </w:rPr>
      </w:pPr>
      <w:r>
        <w:rPr>
          <w:noProof/>
        </w:rPr>
        <mc:AlternateContent>
          <mc:Choice Requires="wpg">
            <w:drawing>
              <wp:anchor distT="0" distB="0" distL="114300" distR="114300" simplePos="0" relativeHeight="251658251" behindDoc="0" locked="0" layoutInCell="1" allowOverlap="1" wp14:anchorId="4B8C1258" wp14:editId="441632F3">
                <wp:simplePos x="0" y="0"/>
                <wp:positionH relativeFrom="column">
                  <wp:posOffset>657225</wp:posOffset>
                </wp:positionH>
                <wp:positionV relativeFrom="paragraph">
                  <wp:posOffset>526415</wp:posOffset>
                </wp:positionV>
                <wp:extent cx="4895850" cy="161925"/>
                <wp:effectExtent l="0" t="0" r="0" b="9525"/>
                <wp:wrapTopAndBottom/>
                <wp:docPr id="652345127" name="Group 43"/>
                <wp:cNvGraphicFramePr/>
                <a:graphic xmlns:a="http://schemas.openxmlformats.org/drawingml/2006/main">
                  <a:graphicData uri="http://schemas.microsoft.com/office/word/2010/wordprocessingGroup">
                    <wpg:wgp>
                      <wpg:cNvGrpSpPr/>
                      <wpg:grpSpPr>
                        <a:xfrm>
                          <a:off x="0" y="0"/>
                          <a:ext cx="4895850" cy="161925"/>
                          <a:chOff x="0" y="0"/>
                          <a:chExt cx="4895850" cy="161925"/>
                        </a:xfrm>
                      </wpg:grpSpPr>
                      <wps:wsp>
                        <wps:cNvPr id="782935533" name="Rectangle 42"/>
                        <wps:cNvSpPr/>
                        <wps:spPr>
                          <a:xfrm>
                            <a:off x="0"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B1057A7" w14:textId="616ED110" w:rsidR="00F81AFD" w:rsidRPr="00F81AFD" w:rsidRDefault="00F81AFD" w:rsidP="00F81AFD">
                              <w:pPr>
                                <w:jc w:val="center"/>
                                <w:rPr>
                                  <w:b/>
                                  <w:bCs/>
                                  <w:sz w:val="16"/>
                                  <w:szCs w:val="14"/>
                                </w:rPr>
                              </w:pPr>
                              <w:r w:rsidRPr="00F81AFD">
                                <w:rPr>
                                  <w:b/>
                                  <w:bCs/>
                                  <w:sz w:val="16"/>
                                  <w:szCs w:val="14"/>
                                </w:rPr>
                                <w:t>27,400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677737867" name="Rectangle 42"/>
                        <wps:cNvSpPr/>
                        <wps:spPr>
                          <a:xfrm>
                            <a:off x="50482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F863D63" w14:textId="0DE38646" w:rsidR="00F81AFD" w:rsidRPr="00F81AFD" w:rsidRDefault="00F81AFD" w:rsidP="00F81AFD">
                              <w:pPr>
                                <w:jc w:val="center"/>
                                <w:rPr>
                                  <w:b/>
                                  <w:bCs/>
                                  <w:sz w:val="16"/>
                                  <w:szCs w:val="14"/>
                                </w:rPr>
                              </w:pPr>
                              <w:r>
                                <w:rPr>
                                  <w:b/>
                                  <w:bCs/>
                                  <w:sz w:val="16"/>
                                  <w:szCs w:val="14"/>
                                </w:rPr>
                                <w:t>31</w:t>
                              </w:r>
                              <w:r w:rsidRPr="00F81AFD">
                                <w:rPr>
                                  <w:b/>
                                  <w:bCs/>
                                  <w:sz w:val="16"/>
                                  <w:szCs w:val="14"/>
                                </w:rPr>
                                <w:t>,</w:t>
                              </w:r>
                              <w:r>
                                <w:rPr>
                                  <w:b/>
                                  <w:bCs/>
                                  <w:sz w:val="16"/>
                                  <w:szCs w:val="14"/>
                                </w:rPr>
                                <w:t>2</w:t>
                              </w:r>
                              <w:r w:rsidRPr="00F81AFD">
                                <w:rPr>
                                  <w:b/>
                                  <w:bCs/>
                                  <w:sz w:val="16"/>
                                  <w:szCs w:val="14"/>
                                </w:rPr>
                                <w:t>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844837034" name="Rectangle 42"/>
                        <wps:cNvSpPr/>
                        <wps:spPr>
                          <a:xfrm>
                            <a:off x="100012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DCB782C" w14:textId="42ACE584" w:rsidR="00F81AFD" w:rsidRPr="00F81AFD" w:rsidRDefault="00F81AFD" w:rsidP="00F81AFD">
                              <w:pPr>
                                <w:jc w:val="center"/>
                                <w:rPr>
                                  <w:b/>
                                  <w:bCs/>
                                  <w:sz w:val="16"/>
                                  <w:szCs w:val="14"/>
                                </w:rPr>
                              </w:pPr>
                              <w:r>
                                <w:rPr>
                                  <w:b/>
                                  <w:bCs/>
                                  <w:sz w:val="16"/>
                                  <w:szCs w:val="14"/>
                                </w:rPr>
                                <w:t>35,8</w:t>
                              </w:r>
                              <w:r w:rsidRPr="00F81AFD">
                                <w:rPr>
                                  <w:b/>
                                  <w:bCs/>
                                  <w:sz w:val="16"/>
                                  <w:szCs w:val="14"/>
                                </w:rPr>
                                <w:t>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38591099" name="Rectangle 42"/>
                        <wps:cNvSpPr/>
                        <wps:spPr>
                          <a:xfrm>
                            <a:off x="1504950"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FBA4407" w14:textId="5DB31F0F" w:rsidR="00F81AFD" w:rsidRPr="00F81AFD" w:rsidRDefault="00F81AFD" w:rsidP="00F81AFD">
                              <w:pPr>
                                <w:jc w:val="center"/>
                                <w:rPr>
                                  <w:b/>
                                  <w:bCs/>
                                  <w:sz w:val="16"/>
                                  <w:szCs w:val="14"/>
                                </w:rPr>
                              </w:pPr>
                              <w:r>
                                <w:rPr>
                                  <w:b/>
                                  <w:bCs/>
                                  <w:sz w:val="16"/>
                                  <w:szCs w:val="14"/>
                                </w:rPr>
                                <w:t>41,300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688068912" name="Rectangle 42"/>
                        <wps:cNvSpPr/>
                        <wps:spPr>
                          <a:xfrm>
                            <a:off x="200977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E6D9A87" w14:textId="7B0888F8" w:rsidR="00F81AFD" w:rsidRPr="00F81AFD" w:rsidRDefault="00F81AFD" w:rsidP="00F81AFD">
                              <w:pPr>
                                <w:jc w:val="center"/>
                                <w:rPr>
                                  <w:b/>
                                  <w:bCs/>
                                  <w:sz w:val="16"/>
                                  <w:szCs w:val="14"/>
                                </w:rPr>
                              </w:pPr>
                              <w:r>
                                <w:rPr>
                                  <w:b/>
                                  <w:bCs/>
                                  <w:sz w:val="16"/>
                                  <w:szCs w:val="14"/>
                                </w:rPr>
                                <w:t>48,900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09356663" name="Rectangle 42"/>
                        <wps:cNvSpPr/>
                        <wps:spPr>
                          <a:xfrm>
                            <a:off x="250507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89EFC7B" w14:textId="015CA300" w:rsidR="00F81AFD" w:rsidRPr="00F81AFD" w:rsidRDefault="00F81AFD" w:rsidP="00F81AFD">
                              <w:pPr>
                                <w:jc w:val="center"/>
                                <w:rPr>
                                  <w:b/>
                                  <w:bCs/>
                                  <w:sz w:val="16"/>
                                  <w:szCs w:val="14"/>
                                </w:rPr>
                              </w:pPr>
                              <w:r>
                                <w:rPr>
                                  <w:b/>
                                  <w:bCs/>
                                  <w:sz w:val="16"/>
                                  <w:szCs w:val="14"/>
                                </w:rPr>
                                <w:t>58,900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383167657" name="Rectangle 42"/>
                        <wps:cNvSpPr/>
                        <wps:spPr>
                          <a:xfrm>
                            <a:off x="3009900"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F881B71" w14:textId="5F318018" w:rsidR="00F81AFD" w:rsidRPr="00F81AFD" w:rsidRDefault="00F81AFD" w:rsidP="00F81AFD">
                              <w:pPr>
                                <w:jc w:val="center"/>
                                <w:rPr>
                                  <w:b/>
                                  <w:bCs/>
                                  <w:sz w:val="16"/>
                                  <w:szCs w:val="14"/>
                                </w:rPr>
                              </w:pPr>
                              <w:r>
                                <w:rPr>
                                  <w:b/>
                                  <w:bCs/>
                                  <w:sz w:val="16"/>
                                  <w:szCs w:val="14"/>
                                </w:rPr>
                                <w:t>74,000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809804436" name="Rectangle 42"/>
                        <wps:cNvSpPr/>
                        <wps:spPr>
                          <a:xfrm>
                            <a:off x="351472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3D7A08C" w14:textId="28FA1906" w:rsidR="00F81AFD" w:rsidRPr="00F81AFD" w:rsidRDefault="00F81AFD" w:rsidP="00F81AFD">
                              <w:pPr>
                                <w:jc w:val="center"/>
                                <w:rPr>
                                  <w:b/>
                                  <w:bCs/>
                                  <w:sz w:val="16"/>
                                  <w:szCs w:val="14"/>
                                </w:rPr>
                              </w:pPr>
                              <w:r>
                                <w:rPr>
                                  <w:b/>
                                  <w:bCs/>
                                  <w:sz w:val="16"/>
                                  <w:szCs w:val="14"/>
                                </w:rPr>
                                <w:t>78,200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630470674" name="Rectangle 42"/>
                        <wps:cNvSpPr/>
                        <wps:spPr>
                          <a:xfrm>
                            <a:off x="401002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EFE8DEF" w14:textId="69B9A868" w:rsidR="00F81AFD" w:rsidRPr="00F81AFD" w:rsidRDefault="00F81AFD" w:rsidP="00F81AFD">
                              <w:pPr>
                                <w:jc w:val="center"/>
                                <w:rPr>
                                  <w:b/>
                                  <w:bCs/>
                                  <w:sz w:val="16"/>
                                  <w:szCs w:val="14"/>
                                </w:rPr>
                              </w:pPr>
                              <w:r>
                                <w:rPr>
                                  <w:b/>
                                  <w:bCs/>
                                  <w:sz w:val="16"/>
                                  <w:szCs w:val="14"/>
                                </w:rPr>
                                <w:t>76,000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847288809" name="Rectangle 42"/>
                        <wps:cNvSpPr/>
                        <wps:spPr>
                          <a:xfrm>
                            <a:off x="4514850"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1CD7668" w14:textId="53C4E957" w:rsidR="00F81AFD" w:rsidRPr="00F81AFD" w:rsidRDefault="00F81AFD" w:rsidP="00F81AFD">
                              <w:pPr>
                                <w:jc w:val="center"/>
                                <w:rPr>
                                  <w:b/>
                                  <w:bCs/>
                                  <w:sz w:val="16"/>
                                  <w:szCs w:val="14"/>
                                </w:rPr>
                              </w:pPr>
                              <w:r>
                                <w:rPr>
                                  <w:b/>
                                  <w:bCs/>
                                  <w:sz w:val="16"/>
                                  <w:szCs w:val="14"/>
                                </w:rPr>
                                <w:t>76,500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anchor>
            </w:drawing>
          </mc:Choice>
          <mc:Fallback>
            <w:pict>
              <v:group w14:anchorId="4B8C1258" id="Group 43" o:spid="_x0000_s1034" style="position:absolute;margin-left:51.75pt;margin-top:41.45pt;width:385.5pt;height:12.75pt;z-index:251658251" coordsize="48958,1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">
                <v:rect id="Rectangle 42" o:spid="_x0000_s1035" style="position:absolute;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" fillcolor="#c4c5c6" stroked="f" strokeweight="2pt">
                  <v:fill opacity="32896f"/>
                  <v:textbox inset="0,0,0,0">
                    <w:txbxContent>
                      <w:p w14:paraId="7B1057A7" w14:textId="616ED110" w:rsidR="00F81AFD" w:rsidRPr="00F81AFD" w:rsidRDefault="00F81AFD" w:rsidP="00F81AFD">
                        <w:pPr>
                          <w:jc w:val="center"/>
                          <w:rPr>
                            <w:b/>
                            <w:bCs/>
                            <w:sz w:val="16"/>
                            <w:szCs w:val="14"/>
                          </w:rPr>
                        </w:pPr>
                        <w:r w:rsidRPr="00F81AFD">
                          <w:rPr>
                            <w:b/>
                            <w:bCs/>
                            <w:sz w:val="16"/>
                            <w:szCs w:val="14"/>
                          </w:rPr>
                          <w:t>27,400</w:t>
                        </w:r>
                      </w:p>
                    </w:txbxContent>
                  </v:textbox>
                </v:rect>
                <v:rect id="Rectangle 42" o:spid="_x0000_s1036" style="position:absolute;left:5048;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" fillcolor="#c4c5c6" stroked="f" strokeweight="2pt">
                  <v:fill opacity="32896f"/>
                  <v:textbox inset="0,0,0,0">
                    <w:txbxContent>
                      <w:p w14:paraId="7F863D63" w14:textId="0DE38646" w:rsidR="00F81AFD" w:rsidRPr="00F81AFD" w:rsidRDefault="00F81AFD" w:rsidP="00F81AFD">
                        <w:pPr>
                          <w:jc w:val="center"/>
                          <w:rPr>
                            <w:b/>
                            <w:bCs/>
                            <w:sz w:val="16"/>
                            <w:szCs w:val="14"/>
                          </w:rPr>
                        </w:pPr>
                        <w:r>
                          <w:rPr>
                            <w:b/>
                            <w:bCs/>
                            <w:sz w:val="16"/>
                            <w:szCs w:val="14"/>
                          </w:rPr>
                          <w:t>31</w:t>
                        </w:r>
                        <w:r w:rsidRPr="00F81AFD">
                          <w:rPr>
                            <w:b/>
                            <w:bCs/>
                            <w:sz w:val="16"/>
                            <w:szCs w:val="14"/>
                          </w:rPr>
                          <w:t>,</w:t>
                        </w:r>
                        <w:r>
                          <w:rPr>
                            <w:b/>
                            <w:bCs/>
                            <w:sz w:val="16"/>
                            <w:szCs w:val="14"/>
                          </w:rPr>
                          <w:t>2</w:t>
                        </w:r>
                        <w:r w:rsidRPr="00F81AFD">
                          <w:rPr>
                            <w:b/>
                            <w:bCs/>
                            <w:sz w:val="16"/>
                            <w:szCs w:val="14"/>
                          </w:rPr>
                          <w:t>00</w:t>
                        </w:r>
                      </w:p>
                    </w:txbxContent>
                  </v:textbox>
                </v:rect>
                <v:rect id="Rectangle 42" o:spid="_x0000_s1037" style="position:absolute;left:10001;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" fillcolor="#c4c5c6" stroked="f" strokeweight="2pt">
                  <v:fill opacity="32896f"/>
                  <v:textbox inset="0,0,0,0">
                    <w:txbxContent>
                      <w:p w14:paraId="0DCB782C" w14:textId="42ACE584" w:rsidR="00F81AFD" w:rsidRPr="00F81AFD" w:rsidRDefault="00F81AFD" w:rsidP="00F81AFD">
                        <w:pPr>
                          <w:jc w:val="center"/>
                          <w:rPr>
                            <w:b/>
                            <w:bCs/>
                            <w:sz w:val="16"/>
                            <w:szCs w:val="14"/>
                          </w:rPr>
                        </w:pPr>
                        <w:r>
                          <w:rPr>
                            <w:b/>
                            <w:bCs/>
                            <w:sz w:val="16"/>
                            <w:szCs w:val="14"/>
                          </w:rPr>
                          <w:t>35,8</w:t>
                        </w:r>
                        <w:r w:rsidRPr="00F81AFD">
                          <w:rPr>
                            <w:b/>
                            <w:bCs/>
                            <w:sz w:val="16"/>
                            <w:szCs w:val="14"/>
                          </w:rPr>
                          <w:t>00</w:t>
                        </w:r>
                      </w:p>
                    </w:txbxContent>
                  </v:textbox>
                </v:rect>
                <v:rect id="Rectangle 42" o:spid="_x0000_s1038" style="position:absolute;left:15049;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" fillcolor="#c4c5c6" stroked="f" strokeweight="2pt">
                  <v:fill opacity="32896f"/>
                  <v:textbox inset="0,0,0,0">
                    <w:txbxContent>
                      <w:p w14:paraId="4FBA4407" w14:textId="5DB31F0F" w:rsidR="00F81AFD" w:rsidRPr="00F81AFD" w:rsidRDefault="00F81AFD" w:rsidP="00F81AFD">
                        <w:pPr>
                          <w:jc w:val="center"/>
                          <w:rPr>
                            <w:b/>
                            <w:bCs/>
                            <w:sz w:val="16"/>
                            <w:szCs w:val="14"/>
                          </w:rPr>
                        </w:pPr>
                        <w:r>
                          <w:rPr>
                            <w:b/>
                            <w:bCs/>
                            <w:sz w:val="16"/>
                            <w:szCs w:val="14"/>
                          </w:rPr>
                          <w:t>41,300</w:t>
                        </w:r>
                      </w:p>
                    </w:txbxContent>
                  </v:textbox>
                </v:rect>
                <v:rect id="Rectangle 42" o:spid="_x0000_s1039" style="position:absolute;left:20097;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" fillcolor="#c4c5c6" stroked="f" strokeweight="2pt">
                  <v:fill opacity="32896f"/>
                  <v:textbox inset="0,0,0,0">
                    <w:txbxContent>
                      <w:p w14:paraId="7E6D9A87" w14:textId="7B0888F8" w:rsidR="00F81AFD" w:rsidRPr="00F81AFD" w:rsidRDefault="00F81AFD" w:rsidP="00F81AFD">
                        <w:pPr>
                          <w:jc w:val="center"/>
                          <w:rPr>
                            <w:b/>
                            <w:bCs/>
                            <w:sz w:val="16"/>
                            <w:szCs w:val="14"/>
                          </w:rPr>
                        </w:pPr>
                        <w:r>
                          <w:rPr>
                            <w:b/>
                            <w:bCs/>
                            <w:sz w:val="16"/>
                            <w:szCs w:val="14"/>
                          </w:rPr>
                          <w:t>48,900</w:t>
                        </w:r>
                      </w:p>
                    </w:txbxContent>
                  </v:textbox>
                </v:rect>
                <v:rect id="Rectangle 42" o:spid="_x0000_s1040" style="position:absolute;left:25050;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" fillcolor="#c4c5c6" stroked="f" strokeweight="2pt">
                  <v:fill opacity="32896f"/>
                  <v:textbox inset="0,0,0,0">
                    <w:txbxContent>
                      <w:p w14:paraId="689EFC7B" w14:textId="015CA300" w:rsidR="00F81AFD" w:rsidRPr="00F81AFD" w:rsidRDefault="00F81AFD" w:rsidP="00F81AFD">
                        <w:pPr>
                          <w:jc w:val="center"/>
                          <w:rPr>
                            <w:b/>
                            <w:bCs/>
                            <w:sz w:val="16"/>
                            <w:szCs w:val="14"/>
                          </w:rPr>
                        </w:pPr>
                        <w:r>
                          <w:rPr>
                            <w:b/>
                            <w:bCs/>
                            <w:sz w:val="16"/>
                            <w:szCs w:val="14"/>
                          </w:rPr>
                          <w:t>58,900</w:t>
                        </w:r>
                      </w:p>
                    </w:txbxContent>
                  </v:textbox>
                </v:rect>
                <v:rect id="Rectangle 42" o:spid="_x0000_s1041" style="position:absolute;left:30099;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" fillcolor="#c4c5c6" stroked="f" strokeweight="2pt">
                  <v:fill opacity="32896f"/>
                  <v:textbox inset="0,0,0,0">
                    <w:txbxContent>
                      <w:p w14:paraId="0F881B71" w14:textId="5F318018" w:rsidR="00F81AFD" w:rsidRPr="00F81AFD" w:rsidRDefault="00F81AFD" w:rsidP="00F81AFD">
                        <w:pPr>
                          <w:jc w:val="center"/>
                          <w:rPr>
                            <w:b/>
                            <w:bCs/>
                            <w:sz w:val="16"/>
                            <w:szCs w:val="14"/>
                          </w:rPr>
                        </w:pPr>
                        <w:r>
                          <w:rPr>
                            <w:b/>
                            <w:bCs/>
                            <w:sz w:val="16"/>
                            <w:szCs w:val="14"/>
                          </w:rPr>
                          <w:t>74,000</w:t>
                        </w:r>
                      </w:p>
                    </w:txbxContent>
                  </v:textbox>
                </v:rect>
                <v:rect id="Rectangle 42" o:spid="_x0000_s1042" style="position:absolute;left:35147;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" fillcolor="#c4c5c6" stroked="f" strokeweight="2pt">
                  <v:fill opacity="32896f"/>
                  <v:textbox inset="0,0,0,0">
                    <w:txbxContent>
                      <w:p w14:paraId="23D7A08C" w14:textId="28FA1906" w:rsidR="00F81AFD" w:rsidRPr="00F81AFD" w:rsidRDefault="00F81AFD" w:rsidP="00F81AFD">
                        <w:pPr>
                          <w:jc w:val="center"/>
                          <w:rPr>
                            <w:b/>
                            <w:bCs/>
                            <w:sz w:val="16"/>
                            <w:szCs w:val="14"/>
                          </w:rPr>
                        </w:pPr>
                        <w:r>
                          <w:rPr>
                            <w:b/>
                            <w:bCs/>
                            <w:sz w:val="16"/>
                            <w:szCs w:val="14"/>
                          </w:rPr>
                          <w:t>78,200</w:t>
                        </w:r>
                      </w:p>
                    </w:txbxContent>
                  </v:textbox>
                </v:rect>
                <v:rect id="Rectangle 42" o:spid="_x0000_s1043" style="position:absolute;left:40100;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" fillcolor="#c4c5c6" stroked="f" strokeweight="2pt">
                  <v:fill opacity="32896f"/>
                  <v:textbox inset="0,0,0,0">
                    <w:txbxContent>
                      <w:p w14:paraId="1EFE8DEF" w14:textId="69B9A868" w:rsidR="00F81AFD" w:rsidRPr="00F81AFD" w:rsidRDefault="00F81AFD" w:rsidP="00F81AFD">
                        <w:pPr>
                          <w:jc w:val="center"/>
                          <w:rPr>
                            <w:b/>
                            <w:bCs/>
                            <w:sz w:val="16"/>
                            <w:szCs w:val="14"/>
                          </w:rPr>
                        </w:pPr>
                        <w:r>
                          <w:rPr>
                            <w:b/>
                            <w:bCs/>
                            <w:sz w:val="16"/>
                            <w:szCs w:val="14"/>
                          </w:rPr>
                          <w:t>76,000</w:t>
                        </w:r>
                      </w:p>
                    </w:txbxContent>
                  </v:textbox>
                </v:rect>
                <v:rect id="Rectangle 42" o:spid="_x0000_s1044" style="position:absolute;left:45148;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" fillcolor="#c4c5c6" stroked="f" strokeweight="2pt">
                  <v:fill opacity="32896f"/>
                  <v:textbox inset="0,0,0,0">
                    <w:txbxContent>
                      <w:p w14:paraId="51CD7668" w14:textId="53C4E957" w:rsidR="00F81AFD" w:rsidRPr="00F81AFD" w:rsidRDefault="00F81AFD" w:rsidP="00F81AFD">
                        <w:pPr>
                          <w:jc w:val="center"/>
                          <w:rPr>
                            <w:b/>
                            <w:bCs/>
                            <w:sz w:val="16"/>
                            <w:szCs w:val="14"/>
                          </w:rPr>
                        </w:pPr>
                        <w:r>
                          <w:rPr>
                            <w:b/>
                            <w:bCs/>
                            <w:sz w:val="16"/>
                            <w:szCs w:val="14"/>
                          </w:rPr>
                          <w:t>76,500</w:t>
                        </w:r>
                      </w:p>
                    </w:txbxContent>
                  </v:textbox>
                </v:rect>
                <w10:wrap type="topAndBottom"/>
              </v:group>
            </w:pict>
          </mc:Fallback>
        </mc:AlternateContent>
      </w:r>
      <w:r w:rsidR="00F81AFD">
        <w:rPr>
          <w:noProof/>
        </w:rPr>
        <w:drawing>
          <wp:anchor distT="0" distB="0" distL="114300" distR="114300" simplePos="0" relativeHeight="251658250" behindDoc="0" locked="0" layoutInCell="1" allowOverlap="1" wp14:anchorId="7FB18F38" wp14:editId="0FC59A4D">
            <wp:simplePos x="0" y="0"/>
            <wp:positionH relativeFrom="column">
              <wp:posOffset>0</wp:posOffset>
            </wp:positionH>
            <wp:positionV relativeFrom="paragraph">
              <wp:posOffset>372110</wp:posOffset>
            </wp:positionV>
            <wp:extent cx="5746750" cy="3200400"/>
            <wp:effectExtent l="0" t="0" r="6350" b="0"/>
            <wp:wrapTopAndBottom/>
            <wp:docPr id="988286820" name="Chart 1" descr="Stacked bar chart showing projected labour demand and labour supply for retrofit delivery in Wales from 2025/26 to 2034/35 under the base scenario. Labour demand increases sharply over time while labour supply declines, resulting in a rapidly widening workforce gap and a falling share of demand met.">
              <a:extLst xmlns:a="http://schemas.openxmlformats.org/drawingml/2006/main">
                <a:ext uri="{FF2B5EF4-FFF2-40B4-BE49-F238E27FC236}">
                  <a16:creationId xmlns:a16="http://schemas.microsoft.com/office/drawing/2014/main" id="{9CDCFFE3-0076-9798-A550-450BAC4A7CE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14:sizeRelV relativeFrom="margin">
              <wp14:pctHeight>0</wp14:pctHeight>
            </wp14:sizeRelV>
          </wp:anchor>
        </w:drawing>
      </w:r>
      <w:r w:rsidR="00DE3E8F" w:rsidRPr="005B5BB8">
        <w:rPr>
          <w:color w:val="6D6E71" w:themeColor="accent3"/>
          <w:sz w:val="18"/>
        </w:rPr>
        <w:t xml:space="preserve">Figure </w:t>
      </w:r>
      <w:r w:rsidR="00DE3E8F" w:rsidRPr="005B5BB8">
        <w:rPr>
          <w:color w:val="6D6E71" w:themeColor="accent3"/>
          <w:sz w:val="18"/>
        </w:rPr>
        <w:fldChar w:fldCharType="begin"/>
      </w:r>
      <w:r w:rsidR="00DE3E8F" w:rsidRPr="005B5BB8">
        <w:rPr>
          <w:color w:val="6D6E71" w:themeColor="accent3"/>
          <w:sz w:val="18"/>
        </w:rPr>
        <w:instrText xml:space="preserve"> SEQ Figure \* ARABIC </w:instrText>
      </w:r>
      <w:r w:rsidR="00DE3E8F" w:rsidRPr="005B5BB8">
        <w:rPr>
          <w:color w:val="6D6E71" w:themeColor="accent3"/>
          <w:sz w:val="18"/>
        </w:rPr>
        <w:fldChar w:fldCharType="separate"/>
      </w:r>
      <w:r w:rsidR="004775B5">
        <w:rPr>
          <w:noProof/>
          <w:color w:val="6D6E71" w:themeColor="accent3"/>
          <w:sz w:val="18"/>
        </w:rPr>
        <w:t>6</w:t>
      </w:r>
      <w:r w:rsidR="00DE3E8F" w:rsidRPr="005B5BB8">
        <w:rPr>
          <w:color w:val="6D6E71" w:themeColor="accent3"/>
          <w:sz w:val="18"/>
        </w:rPr>
        <w:fldChar w:fldCharType="end"/>
      </w:r>
      <w:r w:rsidR="00DE3E8F" w:rsidRPr="005B5BB8">
        <w:rPr>
          <w:color w:val="6D6E71" w:themeColor="accent3"/>
          <w:sz w:val="18"/>
        </w:rPr>
        <w:t>:</w:t>
      </w:r>
      <w:r w:rsidR="00DE3E8F">
        <w:t xml:space="preserve"> </w:t>
      </w:r>
      <w:r w:rsidR="008470B7" w:rsidRPr="008470B7">
        <w:rPr>
          <w:color w:val="6D6E71" w:themeColor="accent3"/>
          <w:sz w:val="18"/>
        </w:rPr>
        <w:t xml:space="preserve">Projected labour supply coverage </w:t>
      </w:r>
      <w:r w:rsidR="009D6639">
        <w:rPr>
          <w:color w:val="6D6E71" w:themeColor="accent3"/>
          <w:sz w:val="18"/>
        </w:rPr>
        <w:t xml:space="preserve">and resultant workforce gap </w:t>
      </w:r>
      <w:r w:rsidR="008470B7" w:rsidRPr="008470B7">
        <w:rPr>
          <w:color w:val="6D6E71" w:themeColor="accent3"/>
          <w:sz w:val="18"/>
        </w:rPr>
        <w:t xml:space="preserve">under the </w:t>
      </w:r>
      <w:r w:rsidR="008470B7" w:rsidRPr="00236ADA">
        <w:rPr>
          <w:b/>
          <w:bCs/>
          <w:color w:val="6D6E71" w:themeColor="accent3"/>
          <w:sz w:val="18"/>
          <w:u w:val="single"/>
        </w:rPr>
        <w:t>base</w:t>
      </w:r>
      <w:r w:rsidR="008470B7" w:rsidRPr="008470B7">
        <w:rPr>
          <w:color w:val="6D6E71" w:themeColor="accent3"/>
          <w:sz w:val="18"/>
        </w:rPr>
        <w:t xml:space="preserve"> delivery scenario</w:t>
      </w:r>
      <w:r w:rsidR="008470B7">
        <w:t xml:space="preserve">, </w:t>
      </w:r>
      <w:r w:rsidR="008470B7" w:rsidRPr="008470B7">
        <w:rPr>
          <w:color w:val="6D6E71" w:themeColor="accent3"/>
          <w:sz w:val="18"/>
        </w:rPr>
        <w:t>expressed as share of demand met</w:t>
      </w:r>
      <w:r w:rsidR="00D07926" w:rsidRPr="00D07926">
        <w:rPr>
          <w:noProof/>
        </w:rPr>
        <w:t xml:space="preserve"> </w:t>
      </w:r>
      <w:r w:rsidR="00F81AFD" w:rsidRPr="00F81AFD">
        <w:rPr>
          <w:color w:val="6D6E71" w:themeColor="accent3"/>
          <w:sz w:val="18"/>
        </w:rPr>
        <w:t>(total labour demand in grey boxes)</w:t>
      </w:r>
    </w:p>
    <w:p w14:paraId="5A6E0730" w14:textId="76D96F81" w:rsidR="00DE3E8F" w:rsidRPr="009D6639" w:rsidRDefault="00DE3E8F" w:rsidP="009D6639">
      <w:pPr>
        <w:jc w:val="right"/>
      </w:pPr>
      <w:r>
        <w:rPr>
          <w:color w:val="6D6E71" w:themeColor="accent3"/>
          <w:sz w:val="18"/>
          <w:szCs w:val="16"/>
        </w:rPr>
        <w:t>Source: Various, Cebr analysis</w:t>
      </w:r>
    </w:p>
    <w:p w14:paraId="7906309E" w14:textId="6D632466" w:rsidR="00286FCC" w:rsidRDefault="00286FCC" w:rsidP="00286FCC">
      <w:pPr>
        <w:spacing w:after="120" w:line="278" w:lineRule="auto"/>
        <w:jc w:val="both"/>
      </w:pPr>
      <w:r>
        <w:t xml:space="preserve">Figure </w:t>
      </w:r>
      <w:r w:rsidR="00167C62">
        <w:t>6</w:t>
      </w:r>
      <w:r>
        <w:t xml:space="preserve"> illustrates the scale and progression of workforce constraints under the base labour demand scenario by expressing projected labour supply as a share of projected demand over time, with absolute figures shown within each bar. In the early years of the forecast, a majority of demand can still be met by the existing and projected workforce, with supply covering around 87% of demand in 2025/26. However, this coverage deteriorates rapidly as retrofit activity accelerates. By the early 2030s, labour supply meets less than a third of projected </w:t>
      </w:r>
      <w:r>
        <w:lastRenderedPageBreak/>
        <w:t>demand, reflecting the combined effect of rising delivery requirements and a steadily contracting workforce. The visual emphasis on proportional coverage highlights that the issue is not a marginal shortfall, but a structural divergence between demand and supply.</w:t>
      </w:r>
    </w:p>
    <w:p w14:paraId="0E6FF97B" w14:textId="7D842697" w:rsidR="00286FCC" w:rsidRDefault="00286FCC" w:rsidP="00286FCC">
      <w:pPr>
        <w:spacing w:after="120" w:line="278" w:lineRule="auto"/>
        <w:jc w:val="both"/>
      </w:pPr>
      <w:r>
        <w:t>The chart also helps contextualise the raw workforce gap figures by showing that the widening shortfall is driven primarily by demand growth rather than abrupt collapses in supply. While labour supply declines gradually over the period, demand increases sharply from the late 2020s onwards, particularly as heating system upgrades scale up. By 2034/35, projected supply meets only around a quarter of total labour demand, leaving a gap of over 57,000 workers. This framing reinforces the central finding that, under the base scenario, existing training pipelines and labour retention mechanisms are insufficient to support the required pace of retrofit delivery, even before considering more ambitious delivery pathways.</w:t>
      </w:r>
    </w:p>
    <w:p w14:paraId="4BFC3346" w14:textId="7193B8E9" w:rsidR="00286FCC" w:rsidRDefault="00236ADA" w:rsidP="00286FCC">
      <w:pPr>
        <w:pStyle w:val="Heading2"/>
        <w:spacing w:line="278" w:lineRule="auto"/>
      </w:pPr>
      <w:bookmarkStart w:id="32" w:name="_Toc221182667"/>
      <w:r>
        <w:t>High-</w:t>
      </w:r>
      <w:r w:rsidR="00286FCC">
        <w:t>demand scenario</w:t>
      </w:r>
      <w:bookmarkEnd w:id="32"/>
    </w:p>
    <w:p w14:paraId="1B764CC9" w14:textId="50A49FE0" w:rsidR="00286FCC" w:rsidRDefault="00286FCC" w:rsidP="00286FCC">
      <w:pPr>
        <w:pStyle w:val="Caption"/>
        <w:rPr>
          <w:color w:val="6D6E71" w:themeColor="accent3"/>
          <w:sz w:val="18"/>
        </w:rPr>
      </w:pPr>
      <w:r>
        <w:rPr>
          <w:noProof/>
        </w:rPr>
        <w:drawing>
          <wp:anchor distT="0" distB="0" distL="114300" distR="114300" simplePos="0" relativeHeight="251658252" behindDoc="0" locked="0" layoutInCell="1" allowOverlap="1" wp14:anchorId="21D3B03C" wp14:editId="7F52A140">
            <wp:simplePos x="0" y="0"/>
            <wp:positionH relativeFrom="column">
              <wp:posOffset>0</wp:posOffset>
            </wp:positionH>
            <wp:positionV relativeFrom="paragraph">
              <wp:posOffset>374015</wp:posOffset>
            </wp:positionV>
            <wp:extent cx="5746750" cy="3133725"/>
            <wp:effectExtent l="0" t="0" r="6350" b="0"/>
            <wp:wrapTopAndBottom/>
            <wp:docPr id="1414807035" name="Chart 1" descr="Stacked bar chart showing projected labour demand and labour supply under a high-demand retrofit pathway from 2025/26 to 2034/35. Labour demand rises more quickly than in the base scenario, while labour supply follows the same declining trend, leading to larger and earlier workforce gaps.">
              <a:extLst xmlns:a="http://schemas.openxmlformats.org/drawingml/2006/main">
                <a:ext uri="{FF2B5EF4-FFF2-40B4-BE49-F238E27FC236}">
                  <a16:creationId xmlns:a16="http://schemas.microsoft.com/office/drawing/2014/main" id="{6B72CD7D-C182-875A-80EF-A831F52A66E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14:sizeRelV relativeFrom="margin">
              <wp14:pctHeight>0</wp14:pctHeight>
            </wp14:sizeRelV>
          </wp:anchor>
        </w:drawing>
      </w:r>
      <w:r w:rsidRPr="005B5BB8">
        <w:rPr>
          <w:color w:val="6D6E71" w:themeColor="accent3"/>
          <w:sz w:val="18"/>
        </w:rPr>
        <w:t xml:space="preserve">Figure </w:t>
      </w:r>
      <w:r w:rsidRPr="005B5BB8">
        <w:rPr>
          <w:color w:val="6D6E71" w:themeColor="accent3"/>
          <w:sz w:val="18"/>
        </w:rPr>
        <w:fldChar w:fldCharType="begin"/>
      </w:r>
      <w:r w:rsidRPr="005B5BB8">
        <w:rPr>
          <w:color w:val="6D6E71" w:themeColor="accent3"/>
          <w:sz w:val="18"/>
        </w:rPr>
        <w:instrText xml:space="preserve"> SEQ Figure \* ARABIC </w:instrText>
      </w:r>
      <w:r w:rsidRPr="005B5BB8">
        <w:rPr>
          <w:color w:val="6D6E71" w:themeColor="accent3"/>
          <w:sz w:val="18"/>
        </w:rPr>
        <w:fldChar w:fldCharType="separate"/>
      </w:r>
      <w:r w:rsidR="004775B5">
        <w:rPr>
          <w:noProof/>
          <w:color w:val="6D6E71" w:themeColor="accent3"/>
          <w:sz w:val="18"/>
        </w:rPr>
        <w:t>7</w:t>
      </w:r>
      <w:r w:rsidRPr="005B5BB8">
        <w:rPr>
          <w:color w:val="6D6E71" w:themeColor="accent3"/>
          <w:sz w:val="18"/>
        </w:rPr>
        <w:fldChar w:fldCharType="end"/>
      </w:r>
      <w:r w:rsidRPr="005B5BB8">
        <w:rPr>
          <w:color w:val="6D6E71" w:themeColor="accent3"/>
          <w:sz w:val="18"/>
        </w:rPr>
        <w:t>:</w:t>
      </w:r>
      <w:r>
        <w:t xml:space="preserve"> </w:t>
      </w:r>
      <w:r w:rsidRPr="008470B7">
        <w:rPr>
          <w:color w:val="6D6E71" w:themeColor="accent3"/>
          <w:sz w:val="18"/>
        </w:rPr>
        <w:t xml:space="preserve">Projected labour supply coverage </w:t>
      </w:r>
      <w:r>
        <w:rPr>
          <w:color w:val="6D6E71" w:themeColor="accent3"/>
          <w:sz w:val="18"/>
        </w:rPr>
        <w:t xml:space="preserve">and resultant workforce gap </w:t>
      </w:r>
      <w:r w:rsidRPr="008470B7">
        <w:rPr>
          <w:color w:val="6D6E71" w:themeColor="accent3"/>
          <w:sz w:val="18"/>
        </w:rPr>
        <w:t xml:space="preserve">under the </w:t>
      </w:r>
      <w:r w:rsidR="00236ADA" w:rsidRPr="00236ADA">
        <w:rPr>
          <w:b/>
          <w:bCs/>
          <w:color w:val="6D6E71" w:themeColor="accent3"/>
          <w:sz w:val="18"/>
          <w:u w:val="single"/>
        </w:rPr>
        <w:t>high-demand</w:t>
      </w:r>
      <w:r w:rsidRPr="008470B7">
        <w:rPr>
          <w:color w:val="6D6E71" w:themeColor="accent3"/>
          <w:sz w:val="18"/>
        </w:rPr>
        <w:t xml:space="preserve"> delivery scenario</w:t>
      </w:r>
      <w:r>
        <w:t xml:space="preserve">, </w:t>
      </w:r>
      <w:r w:rsidRPr="008470B7">
        <w:rPr>
          <w:color w:val="6D6E71" w:themeColor="accent3"/>
          <w:sz w:val="18"/>
        </w:rPr>
        <w:t>expressed as share of demand met</w:t>
      </w:r>
      <w:r w:rsidRPr="00D07926">
        <w:rPr>
          <w:noProof/>
        </w:rPr>
        <w:t xml:space="preserve"> </w:t>
      </w:r>
      <w:r w:rsidRPr="00F81AFD">
        <w:rPr>
          <w:color w:val="6D6E71" w:themeColor="accent3"/>
          <w:sz w:val="18"/>
        </w:rPr>
        <w:t>(total labour demand in grey boxes)</w:t>
      </w:r>
    </w:p>
    <w:p w14:paraId="5BD7A0F2" w14:textId="6DE7BFDE" w:rsidR="00286FCC" w:rsidRDefault="00286FCC" w:rsidP="00286FCC">
      <w:pPr>
        <w:jc w:val="right"/>
      </w:pPr>
      <w:r>
        <w:rPr>
          <w:color w:val="6D6E71" w:themeColor="accent3"/>
          <w:sz w:val="18"/>
          <w:szCs w:val="16"/>
        </w:rPr>
        <w:t>Source: Various, Cebr analysis</w:t>
      </w:r>
    </w:p>
    <w:p w14:paraId="3EEEFBFA" w14:textId="1490A1E7" w:rsidR="00500E5E" w:rsidRDefault="00500E5E" w:rsidP="00500E5E">
      <w:pPr>
        <w:spacing w:after="120" w:line="278" w:lineRule="auto"/>
        <w:jc w:val="both"/>
      </w:pPr>
      <w:r>
        <w:t xml:space="preserve">Figure </w:t>
      </w:r>
      <w:r w:rsidR="00167C62">
        <w:t>7</w:t>
      </w:r>
      <w:r>
        <w:t xml:space="preserve"> extends the analysis to the </w:t>
      </w:r>
      <w:r w:rsidR="00236ADA">
        <w:t>high-demand</w:t>
      </w:r>
      <w:r>
        <w:t xml:space="preserve"> delivery scenario, illustrating how a faster pace of retrofit rollout materially amplifies workforce pressures relative to the base case. Although labour supply is unchanged, demand rises more rapidly, causing the share of demand met by the available workforce to fall at an accelerated rate. Coverage declines from 80% in 2025/26 to just over 50% by 2027/28, before dropping below 40% by the end of the decade. This earlier and steeper deterioration reflects the front loading of retrofit activity implied by the </w:t>
      </w:r>
      <w:r w:rsidR="00236ADA">
        <w:t>high-demand</w:t>
      </w:r>
      <w:r>
        <w:t xml:space="preserve"> pathway rather than any abrupt change in labour availability.</w:t>
      </w:r>
    </w:p>
    <w:p w14:paraId="4F3E2795" w14:textId="36402665" w:rsidR="00500E5E" w:rsidRDefault="00500E5E" w:rsidP="00500E5E">
      <w:pPr>
        <w:spacing w:after="120" w:line="278" w:lineRule="auto"/>
        <w:jc w:val="both"/>
      </w:pPr>
      <w:r>
        <w:t xml:space="preserve">By the early 2030s, the </w:t>
      </w:r>
      <w:r w:rsidR="00236ADA">
        <w:t>high-demand</w:t>
      </w:r>
      <w:r>
        <w:t xml:space="preserve"> scenario produces a structurally more severe imbalance than the base case. From 2031/32 onwards, labour supply meets barely a quarter of total demand, with the workforce gap accounting for around three quarters of required labour. By 2034/35, the gap reaches over 74,000 workers, equivalent to 80% of projected demand. Framed in proportional terms, this scenario demonstrates that accelerating retrofit delivery </w:t>
      </w:r>
      <w:r>
        <w:lastRenderedPageBreak/>
        <w:t>without a commensurate expansion in workforce capacity substantially increases delivery risk, reinforcing the conclusion that higher ambition must be accompanied by a step change in training, retention, and mobilisation mechanisms rather than relying on existing labour market dynamics.</w:t>
      </w:r>
    </w:p>
    <w:p w14:paraId="0A0A8714" w14:textId="301BC786" w:rsidR="00500E5E" w:rsidRDefault="00236ADA" w:rsidP="00500E5E">
      <w:pPr>
        <w:pStyle w:val="Heading2"/>
        <w:spacing w:line="278" w:lineRule="auto"/>
      </w:pPr>
      <w:bookmarkStart w:id="33" w:name="_Toc221182668"/>
      <w:r>
        <w:t>Low-</w:t>
      </w:r>
      <w:r w:rsidR="00500E5E">
        <w:t>demand scenario</w:t>
      </w:r>
      <w:bookmarkEnd w:id="33"/>
    </w:p>
    <w:p w14:paraId="7CD38123" w14:textId="7BAC9B41" w:rsidR="0081445B" w:rsidRDefault="00931890" w:rsidP="0081445B">
      <w:pPr>
        <w:pStyle w:val="Caption"/>
        <w:rPr>
          <w:color w:val="6D6E71" w:themeColor="accent3"/>
          <w:sz w:val="18"/>
        </w:rPr>
      </w:pPr>
      <w:r>
        <w:rPr>
          <w:noProof/>
        </w:rPr>
        <mc:AlternateContent>
          <mc:Choice Requires="wpg">
            <w:drawing>
              <wp:anchor distT="0" distB="0" distL="114300" distR="114300" simplePos="0" relativeHeight="251662365" behindDoc="0" locked="0" layoutInCell="1" allowOverlap="1" wp14:anchorId="06B589FB" wp14:editId="3A56E142">
                <wp:simplePos x="0" y="0"/>
                <wp:positionH relativeFrom="column">
                  <wp:posOffset>609600</wp:posOffset>
                </wp:positionH>
                <wp:positionV relativeFrom="paragraph">
                  <wp:posOffset>379730</wp:posOffset>
                </wp:positionV>
                <wp:extent cx="4895850" cy="161925"/>
                <wp:effectExtent l="0" t="0" r="0" b="9525"/>
                <wp:wrapNone/>
                <wp:docPr id="939382871" name="Group 1"/>
                <wp:cNvGraphicFramePr/>
                <a:graphic xmlns:a="http://schemas.openxmlformats.org/drawingml/2006/main">
                  <a:graphicData uri="http://schemas.microsoft.com/office/word/2010/wordprocessingGroup">
                    <wpg:wgp>
                      <wpg:cNvGrpSpPr/>
                      <wpg:grpSpPr>
                        <a:xfrm>
                          <a:off x="0" y="0"/>
                          <a:ext cx="4895850" cy="161925"/>
                          <a:chOff x="0" y="0"/>
                          <a:chExt cx="4895850" cy="161925"/>
                        </a:xfrm>
                      </wpg:grpSpPr>
                      <wps:wsp>
                        <wps:cNvPr id="334704536" name="Rectangle 334704536"/>
                        <wps:cNvSpPr/>
                        <wps:spPr>
                          <a:xfrm>
                            <a:off x="0"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A5B927E" w14:textId="7E56F476" w:rsidR="00931890" w:rsidRDefault="00AB6228" w:rsidP="00931890">
                              <w:pPr>
                                <w:jc w:val="center"/>
                                <w:rPr>
                                  <w:rFonts w:eastAsia="Microsoft JhengHei"/>
                                  <w:b/>
                                  <w:bCs/>
                                  <w:sz w:val="16"/>
                                  <w:szCs w:val="16"/>
                                </w:rPr>
                              </w:pPr>
                              <w:r>
                                <w:rPr>
                                  <w:rFonts w:eastAsia="Microsoft JhengHei"/>
                                  <w:b/>
                                  <w:bCs/>
                                  <w:sz w:val="16"/>
                                  <w:szCs w:val="16"/>
                                </w:rPr>
                                <w:t>2</w:t>
                              </w:r>
                              <w:r w:rsidR="00A166E2">
                                <w:rPr>
                                  <w:rFonts w:eastAsia="Microsoft JhengHei"/>
                                  <w:b/>
                                  <w:bCs/>
                                  <w:sz w:val="16"/>
                                  <w:szCs w:val="16"/>
                                </w:rPr>
                                <w:t>4</w:t>
                              </w:r>
                              <w:r>
                                <w:rPr>
                                  <w:rFonts w:eastAsia="Microsoft JhengHei"/>
                                  <w:b/>
                                  <w:bCs/>
                                  <w:sz w:val="16"/>
                                  <w:szCs w:val="16"/>
                                </w:rPr>
                                <w:t>,</w:t>
                              </w:r>
                              <w:r w:rsidR="00A166E2">
                                <w:rPr>
                                  <w:rFonts w:eastAsia="Microsoft JhengHei"/>
                                  <w:b/>
                                  <w:bCs/>
                                  <w:sz w:val="16"/>
                                  <w:szCs w:val="16"/>
                                </w:rPr>
                                <w:t>5</w:t>
                              </w:r>
                              <w:r w:rsidR="00931890">
                                <w:rPr>
                                  <w:rFonts w:eastAsia="Microsoft JhengHei"/>
                                  <w:b/>
                                  <w:bCs/>
                                  <w:sz w:val="16"/>
                                  <w:szCs w:val="16"/>
                                </w:rPr>
                                <w:t>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1258762701" name="Rectangle 1258762701"/>
                        <wps:cNvSpPr/>
                        <wps:spPr>
                          <a:xfrm>
                            <a:off x="50482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C7500A3" w14:textId="70377249" w:rsidR="00931890" w:rsidRDefault="00AB6228" w:rsidP="00931890">
                              <w:pPr>
                                <w:jc w:val="center"/>
                                <w:rPr>
                                  <w:rFonts w:eastAsia="Microsoft JhengHei"/>
                                  <w:b/>
                                  <w:bCs/>
                                  <w:sz w:val="16"/>
                                  <w:szCs w:val="16"/>
                                </w:rPr>
                              </w:pPr>
                              <w:r>
                                <w:rPr>
                                  <w:rFonts w:eastAsia="Microsoft JhengHei"/>
                                  <w:b/>
                                  <w:bCs/>
                                  <w:sz w:val="16"/>
                                  <w:szCs w:val="16"/>
                                </w:rPr>
                                <w:t>24,</w:t>
                              </w:r>
                              <w:r w:rsidR="00A166E2">
                                <w:rPr>
                                  <w:rFonts w:eastAsia="Microsoft JhengHei"/>
                                  <w:b/>
                                  <w:bCs/>
                                  <w:sz w:val="16"/>
                                  <w:szCs w:val="16"/>
                                </w:rPr>
                                <w:t>2</w:t>
                              </w:r>
                              <w:r>
                                <w:rPr>
                                  <w:rFonts w:eastAsia="Microsoft JhengHei"/>
                                  <w:b/>
                                  <w:bCs/>
                                  <w:sz w:val="16"/>
                                  <w:szCs w:val="16"/>
                                </w:rPr>
                                <w:t>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268395320" name="Rectangle 268395320"/>
                        <wps:cNvSpPr/>
                        <wps:spPr>
                          <a:xfrm>
                            <a:off x="100012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AB2C23A" w14:textId="1BE0EC5A" w:rsidR="00931890" w:rsidRDefault="00AB6228" w:rsidP="00931890">
                              <w:pPr>
                                <w:jc w:val="center"/>
                                <w:rPr>
                                  <w:rFonts w:eastAsia="Microsoft JhengHei"/>
                                  <w:b/>
                                  <w:bCs/>
                                  <w:sz w:val="16"/>
                                  <w:szCs w:val="16"/>
                                </w:rPr>
                              </w:pPr>
                              <w:r>
                                <w:rPr>
                                  <w:rFonts w:eastAsia="Microsoft JhengHei"/>
                                  <w:b/>
                                  <w:bCs/>
                                  <w:sz w:val="16"/>
                                  <w:szCs w:val="16"/>
                                </w:rPr>
                                <w:t>2</w:t>
                              </w:r>
                              <w:r w:rsidR="00A166E2">
                                <w:rPr>
                                  <w:rFonts w:eastAsia="Microsoft JhengHei"/>
                                  <w:b/>
                                  <w:bCs/>
                                  <w:sz w:val="16"/>
                                  <w:szCs w:val="16"/>
                                </w:rPr>
                                <w:t>5</w:t>
                              </w:r>
                              <w:r>
                                <w:rPr>
                                  <w:rFonts w:eastAsia="Microsoft JhengHei"/>
                                  <w:b/>
                                  <w:bCs/>
                                  <w:sz w:val="16"/>
                                  <w:szCs w:val="16"/>
                                </w:rPr>
                                <w:t>,</w:t>
                              </w:r>
                              <w:r w:rsidR="00A166E2">
                                <w:rPr>
                                  <w:rFonts w:eastAsia="Microsoft JhengHei"/>
                                  <w:b/>
                                  <w:bCs/>
                                  <w:sz w:val="16"/>
                                  <w:szCs w:val="16"/>
                                </w:rPr>
                                <w:t>7</w:t>
                              </w:r>
                              <w:r>
                                <w:rPr>
                                  <w:rFonts w:eastAsia="Microsoft JhengHei"/>
                                  <w:b/>
                                  <w:bCs/>
                                  <w:sz w:val="16"/>
                                  <w:szCs w:val="16"/>
                                </w:rPr>
                                <w:t>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9399524" name="Rectangle 9399524"/>
                        <wps:cNvSpPr/>
                        <wps:spPr>
                          <a:xfrm>
                            <a:off x="1504950"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67CDD7E" w14:textId="2292BAAE" w:rsidR="00931890" w:rsidRDefault="00AB6228" w:rsidP="00931890">
                              <w:pPr>
                                <w:jc w:val="center"/>
                                <w:rPr>
                                  <w:rFonts w:eastAsia="Microsoft JhengHei"/>
                                  <w:b/>
                                  <w:bCs/>
                                  <w:sz w:val="16"/>
                                  <w:szCs w:val="16"/>
                                </w:rPr>
                              </w:pPr>
                              <w:r>
                                <w:rPr>
                                  <w:rFonts w:eastAsia="Microsoft JhengHei"/>
                                  <w:b/>
                                  <w:bCs/>
                                  <w:sz w:val="16"/>
                                  <w:szCs w:val="16"/>
                                </w:rPr>
                                <w:t>2</w:t>
                              </w:r>
                              <w:r w:rsidR="00A166E2">
                                <w:rPr>
                                  <w:rFonts w:eastAsia="Microsoft JhengHei"/>
                                  <w:b/>
                                  <w:bCs/>
                                  <w:sz w:val="16"/>
                                  <w:szCs w:val="16"/>
                                </w:rPr>
                                <w:t>7</w:t>
                              </w:r>
                              <w:r>
                                <w:rPr>
                                  <w:rFonts w:eastAsia="Microsoft JhengHei"/>
                                  <w:b/>
                                  <w:bCs/>
                                  <w:sz w:val="16"/>
                                  <w:szCs w:val="16"/>
                                </w:rPr>
                                <w:t>,</w:t>
                              </w:r>
                              <w:r w:rsidR="00A166E2">
                                <w:rPr>
                                  <w:rFonts w:eastAsia="Microsoft JhengHei"/>
                                  <w:b/>
                                  <w:bCs/>
                                  <w:sz w:val="16"/>
                                  <w:szCs w:val="16"/>
                                </w:rPr>
                                <w:t>1</w:t>
                              </w:r>
                              <w:r>
                                <w:rPr>
                                  <w:rFonts w:eastAsia="Microsoft JhengHei"/>
                                  <w:b/>
                                  <w:bCs/>
                                  <w:sz w:val="16"/>
                                  <w:szCs w:val="16"/>
                                </w:rPr>
                                <w:t>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218867698" name="Rectangle 218867698"/>
                        <wps:cNvSpPr/>
                        <wps:spPr>
                          <a:xfrm>
                            <a:off x="200977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44F7BD6" w14:textId="7DD4C350" w:rsidR="00931890" w:rsidRDefault="00AB6228" w:rsidP="00931890">
                              <w:pPr>
                                <w:jc w:val="center"/>
                                <w:rPr>
                                  <w:rFonts w:eastAsia="Microsoft JhengHei"/>
                                  <w:b/>
                                  <w:bCs/>
                                  <w:sz w:val="16"/>
                                  <w:szCs w:val="16"/>
                                </w:rPr>
                              </w:pPr>
                              <w:r>
                                <w:rPr>
                                  <w:rFonts w:eastAsia="Microsoft JhengHei"/>
                                  <w:b/>
                                  <w:bCs/>
                                  <w:sz w:val="16"/>
                                  <w:szCs w:val="16"/>
                                </w:rPr>
                                <w:t>2</w:t>
                              </w:r>
                              <w:r w:rsidR="00A166E2">
                                <w:rPr>
                                  <w:rFonts w:eastAsia="Microsoft JhengHei"/>
                                  <w:b/>
                                  <w:bCs/>
                                  <w:sz w:val="16"/>
                                  <w:szCs w:val="16"/>
                                </w:rPr>
                                <w:t>8</w:t>
                              </w:r>
                              <w:r>
                                <w:rPr>
                                  <w:rFonts w:eastAsia="Microsoft JhengHei"/>
                                  <w:b/>
                                  <w:bCs/>
                                  <w:sz w:val="16"/>
                                  <w:szCs w:val="16"/>
                                </w:rPr>
                                <w:t>,</w:t>
                              </w:r>
                              <w:r w:rsidR="00A166E2">
                                <w:rPr>
                                  <w:rFonts w:eastAsia="Microsoft JhengHei"/>
                                  <w:b/>
                                  <w:bCs/>
                                  <w:sz w:val="16"/>
                                  <w:szCs w:val="16"/>
                                </w:rPr>
                                <w:t>1</w:t>
                              </w:r>
                              <w:r>
                                <w:rPr>
                                  <w:rFonts w:eastAsia="Microsoft JhengHei"/>
                                  <w:b/>
                                  <w:bCs/>
                                  <w:sz w:val="16"/>
                                  <w:szCs w:val="16"/>
                                </w:rPr>
                                <w:t>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1128163750" name="Rectangle 1128163750"/>
                        <wps:cNvSpPr/>
                        <wps:spPr>
                          <a:xfrm>
                            <a:off x="250507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DC052F1" w14:textId="049D9363" w:rsidR="00931890" w:rsidRDefault="00AB6228" w:rsidP="00931890">
                              <w:pPr>
                                <w:jc w:val="center"/>
                                <w:rPr>
                                  <w:rFonts w:eastAsia="Microsoft JhengHei"/>
                                  <w:b/>
                                  <w:bCs/>
                                  <w:sz w:val="16"/>
                                  <w:szCs w:val="16"/>
                                </w:rPr>
                              </w:pPr>
                              <w:r>
                                <w:rPr>
                                  <w:rFonts w:eastAsia="Microsoft JhengHei"/>
                                  <w:b/>
                                  <w:bCs/>
                                  <w:sz w:val="16"/>
                                  <w:szCs w:val="16"/>
                                </w:rPr>
                                <w:t>28,</w:t>
                              </w:r>
                              <w:r w:rsidR="00A166E2">
                                <w:rPr>
                                  <w:rFonts w:eastAsia="Microsoft JhengHei"/>
                                  <w:b/>
                                  <w:bCs/>
                                  <w:sz w:val="16"/>
                                  <w:szCs w:val="16"/>
                                </w:rPr>
                                <w:t>4</w:t>
                              </w:r>
                              <w:r>
                                <w:rPr>
                                  <w:rFonts w:eastAsia="Microsoft JhengHei"/>
                                  <w:b/>
                                  <w:bCs/>
                                  <w:sz w:val="16"/>
                                  <w:szCs w:val="16"/>
                                </w:rPr>
                                <w:t>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116088215" name="Rectangle 116088215"/>
                        <wps:cNvSpPr/>
                        <wps:spPr>
                          <a:xfrm>
                            <a:off x="3009900"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93EF274" w14:textId="6B9A1CAE" w:rsidR="00931890" w:rsidRDefault="00AB6228" w:rsidP="00931890">
                              <w:pPr>
                                <w:jc w:val="center"/>
                                <w:rPr>
                                  <w:rFonts w:eastAsia="Microsoft JhengHei"/>
                                  <w:b/>
                                  <w:bCs/>
                                  <w:sz w:val="16"/>
                                  <w:szCs w:val="16"/>
                                </w:rPr>
                              </w:pPr>
                              <w:r>
                                <w:rPr>
                                  <w:rFonts w:eastAsia="Microsoft JhengHei"/>
                                  <w:b/>
                                  <w:bCs/>
                                  <w:sz w:val="16"/>
                                  <w:szCs w:val="16"/>
                                </w:rPr>
                                <w:t>2</w:t>
                              </w:r>
                              <w:r w:rsidR="00A166E2">
                                <w:rPr>
                                  <w:rFonts w:eastAsia="Microsoft JhengHei"/>
                                  <w:b/>
                                  <w:bCs/>
                                  <w:sz w:val="16"/>
                                  <w:szCs w:val="16"/>
                                </w:rPr>
                                <w:t>7</w:t>
                              </w:r>
                              <w:r>
                                <w:rPr>
                                  <w:rFonts w:eastAsia="Microsoft JhengHei"/>
                                  <w:b/>
                                  <w:bCs/>
                                  <w:sz w:val="16"/>
                                  <w:szCs w:val="16"/>
                                </w:rPr>
                                <w:t>,</w:t>
                              </w:r>
                              <w:r w:rsidR="00A166E2">
                                <w:rPr>
                                  <w:rFonts w:eastAsia="Microsoft JhengHei"/>
                                  <w:b/>
                                  <w:bCs/>
                                  <w:sz w:val="16"/>
                                  <w:szCs w:val="16"/>
                                </w:rPr>
                                <w:t>7</w:t>
                              </w:r>
                              <w:r>
                                <w:rPr>
                                  <w:rFonts w:eastAsia="Microsoft JhengHei"/>
                                  <w:b/>
                                  <w:bCs/>
                                  <w:sz w:val="16"/>
                                  <w:szCs w:val="16"/>
                                </w:rPr>
                                <w:t>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800407449" name="Rectangle 800407449"/>
                        <wps:cNvSpPr/>
                        <wps:spPr>
                          <a:xfrm>
                            <a:off x="351472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451CD10" w14:textId="050933EC" w:rsidR="00931890" w:rsidRDefault="00AB6228" w:rsidP="00931890">
                              <w:pPr>
                                <w:jc w:val="center"/>
                                <w:rPr>
                                  <w:rFonts w:eastAsia="Microsoft JhengHei"/>
                                  <w:b/>
                                  <w:bCs/>
                                  <w:sz w:val="16"/>
                                  <w:szCs w:val="16"/>
                                </w:rPr>
                              </w:pPr>
                              <w:r>
                                <w:rPr>
                                  <w:rFonts w:eastAsia="Microsoft JhengHei"/>
                                  <w:b/>
                                  <w:bCs/>
                                  <w:sz w:val="16"/>
                                  <w:szCs w:val="16"/>
                                </w:rPr>
                                <w:t>2</w:t>
                              </w:r>
                              <w:r w:rsidR="00A166E2">
                                <w:rPr>
                                  <w:rFonts w:eastAsia="Microsoft JhengHei"/>
                                  <w:b/>
                                  <w:bCs/>
                                  <w:sz w:val="16"/>
                                  <w:szCs w:val="16"/>
                                </w:rPr>
                                <w:t>6</w:t>
                              </w:r>
                              <w:r>
                                <w:rPr>
                                  <w:rFonts w:eastAsia="Microsoft JhengHei"/>
                                  <w:b/>
                                  <w:bCs/>
                                  <w:sz w:val="16"/>
                                  <w:szCs w:val="16"/>
                                </w:rPr>
                                <w:t>,</w:t>
                              </w:r>
                              <w:r w:rsidR="00A166E2">
                                <w:rPr>
                                  <w:rFonts w:eastAsia="Microsoft JhengHei"/>
                                  <w:b/>
                                  <w:bCs/>
                                  <w:sz w:val="16"/>
                                  <w:szCs w:val="16"/>
                                </w:rPr>
                                <w:t>1</w:t>
                              </w:r>
                              <w:r>
                                <w:rPr>
                                  <w:rFonts w:eastAsia="Microsoft JhengHei"/>
                                  <w:b/>
                                  <w:bCs/>
                                  <w:sz w:val="16"/>
                                  <w:szCs w:val="16"/>
                                </w:rPr>
                                <w:t>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511678707" name="Rectangle 511678707"/>
                        <wps:cNvSpPr/>
                        <wps:spPr>
                          <a:xfrm>
                            <a:off x="4010025"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F4C0874" w14:textId="688F9132" w:rsidR="00931890" w:rsidRDefault="00AB6228" w:rsidP="00931890">
                              <w:pPr>
                                <w:jc w:val="center"/>
                                <w:rPr>
                                  <w:rFonts w:eastAsia="Microsoft JhengHei"/>
                                  <w:b/>
                                  <w:bCs/>
                                  <w:sz w:val="16"/>
                                  <w:szCs w:val="16"/>
                                </w:rPr>
                              </w:pPr>
                              <w:r>
                                <w:rPr>
                                  <w:rFonts w:eastAsia="Microsoft JhengHei"/>
                                  <w:b/>
                                  <w:bCs/>
                                  <w:sz w:val="16"/>
                                  <w:szCs w:val="16"/>
                                </w:rPr>
                                <w:t>2</w:t>
                              </w:r>
                              <w:r w:rsidR="00A166E2">
                                <w:rPr>
                                  <w:rFonts w:eastAsia="Microsoft JhengHei"/>
                                  <w:b/>
                                  <w:bCs/>
                                  <w:sz w:val="16"/>
                                  <w:szCs w:val="16"/>
                                </w:rPr>
                                <w:t>3</w:t>
                              </w:r>
                              <w:r>
                                <w:rPr>
                                  <w:rFonts w:eastAsia="Microsoft JhengHei"/>
                                  <w:b/>
                                  <w:bCs/>
                                  <w:sz w:val="16"/>
                                  <w:szCs w:val="16"/>
                                </w:rPr>
                                <w:t>,900</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826962799" name="Rectangle 826962799"/>
                        <wps:cNvSpPr/>
                        <wps:spPr>
                          <a:xfrm>
                            <a:off x="4514850" y="0"/>
                            <a:ext cx="381000" cy="161925"/>
                          </a:xfrm>
                          <a:prstGeom prst="rect">
                            <a:avLst/>
                          </a:prstGeom>
                          <a:solidFill>
                            <a:srgbClr val="C4C5C6">
                              <a:alpha val="50196"/>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B4B6B3B" w14:textId="437A3E72" w:rsidR="00931890" w:rsidRDefault="00A166E2" w:rsidP="00931890">
                              <w:pPr>
                                <w:jc w:val="center"/>
                                <w:rPr>
                                  <w:rFonts w:eastAsia="Microsoft JhengHei"/>
                                  <w:b/>
                                  <w:bCs/>
                                  <w:sz w:val="16"/>
                                  <w:szCs w:val="16"/>
                                </w:rPr>
                              </w:pPr>
                              <w:r>
                                <w:rPr>
                                  <w:rFonts w:eastAsia="Microsoft JhengHei"/>
                                  <w:b/>
                                  <w:bCs/>
                                  <w:sz w:val="16"/>
                                  <w:szCs w:val="16"/>
                                </w:rPr>
                                <w:t>21</w:t>
                              </w:r>
                              <w:r w:rsidR="00AB6228">
                                <w:rPr>
                                  <w:rFonts w:eastAsia="Microsoft JhengHei"/>
                                  <w:b/>
                                  <w:bCs/>
                                  <w:sz w:val="16"/>
                                  <w:szCs w:val="16"/>
                                </w:rPr>
                                <w:t>,</w:t>
                              </w:r>
                              <w:r>
                                <w:rPr>
                                  <w:rFonts w:eastAsia="Microsoft JhengHei"/>
                                  <w:b/>
                                  <w:bCs/>
                                  <w:sz w:val="16"/>
                                  <w:szCs w:val="16"/>
                                </w:rPr>
                                <w:t>5</w:t>
                              </w:r>
                              <w:r w:rsidR="00AB6228">
                                <w:rPr>
                                  <w:rFonts w:eastAsia="Microsoft JhengHei"/>
                                  <w:b/>
                                  <w:bCs/>
                                  <w:sz w:val="16"/>
                                  <w:szCs w:val="16"/>
                                </w:rPr>
                                <w:t>00</w:t>
                              </w:r>
                            </w:p>
                          </w:txbxContent>
                        </wps:txbx>
                        <wps:bodyPr rot="0" spcFirstLastPara="0" vert="horz" wrap="square" lIns="0" tIns="0" rIns="0" bIns="0" numCol="1" spcCol="0" rtlCol="0" fromWordArt="0" anchor="ctr" anchorCtr="0" forceAA="0" compatLnSpc="1">
                          <a:prstTxWarp prst="textNoShape">
                            <a:avLst/>
                          </a:prstTxWarp>
                          <a:noAutofit/>
                        </wps:bodyPr>
                      </wps:wsp>
                    </wpg:wgp>
                  </a:graphicData>
                </a:graphic>
              </wp:anchor>
            </w:drawing>
          </mc:Choice>
          <mc:Fallback>
            <w:pict>
              <v:group w14:anchorId="06B589FB" id="Group 1" o:spid="_x0000_s1045" style="position:absolute;margin-left:48pt;margin-top:29.9pt;width:385.5pt;height:12.75pt;z-index:251662365" coordsize="48958,1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">
                <v:rect id="Rectangle 334704536" o:spid="_x0000_s1046" style="position:absolute;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" fillcolor="#c4c5c6" stroked="f" strokeweight="2pt">
                  <v:fill opacity="32896f"/>
                  <v:textbox inset="0,0,0,0">
                    <w:txbxContent>
                      <w:p w14:paraId="7A5B927E" w14:textId="7E56F476" w:rsidR="00931890" w:rsidRDefault="00AB6228" w:rsidP="00931890">
                        <w:pPr>
                          <w:jc w:val="center"/>
                          <w:rPr>
                            <w:rFonts w:eastAsia="Microsoft JhengHei"/>
                            <w:b/>
                            <w:bCs/>
                            <w:sz w:val="16"/>
                            <w:szCs w:val="16"/>
                          </w:rPr>
                        </w:pPr>
                        <w:r>
                          <w:rPr>
                            <w:rFonts w:eastAsia="Microsoft JhengHei"/>
                            <w:b/>
                            <w:bCs/>
                            <w:sz w:val="16"/>
                            <w:szCs w:val="16"/>
                          </w:rPr>
                          <w:t>2</w:t>
                        </w:r>
                        <w:r w:rsidR="00A166E2">
                          <w:rPr>
                            <w:rFonts w:eastAsia="Microsoft JhengHei"/>
                            <w:b/>
                            <w:bCs/>
                            <w:sz w:val="16"/>
                            <w:szCs w:val="16"/>
                          </w:rPr>
                          <w:t>4</w:t>
                        </w:r>
                        <w:r>
                          <w:rPr>
                            <w:rFonts w:eastAsia="Microsoft JhengHei"/>
                            <w:b/>
                            <w:bCs/>
                            <w:sz w:val="16"/>
                            <w:szCs w:val="16"/>
                          </w:rPr>
                          <w:t>,</w:t>
                        </w:r>
                        <w:r w:rsidR="00A166E2">
                          <w:rPr>
                            <w:rFonts w:eastAsia="Microsoft JhengHei"/>
                            <w:b/>
                            <w:bCs/>
                            <w:sz w:val="16"/>
                            <w:szCs w:val="16"/>
                          </w:rPr>
                          <w:t>5</w:t>
                        </w:r>
                        <w:r w:rsidR="00931890">
                          <w:rPr>
                            <w:rFonts w:eastAsia="Microsoft JhengHei"/>
                            <w:b/>
                            <w:bCs/>
                            <w:sz w:val="16"/>
                            <w:szCs w:val="16"/>
                          </w:rPr>
                          <w:t>00</w:t>
                        </w:r>
                      </w:p>
                    </w:txbxContent>
                  </v:textbox>
                </v:rect>
                <v:rect id="Rectangle 1258762701" o:spid="_x0000_s1047" style="position:absolute;left:5048;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" fillcolor="#c4c5c6" stroked="f" strokeweight="2pt">
                  <v:fill opacity="32896f"/>
                  <v:textbox inset="0,0,0,0">
                    <w:txbxContent>
                      <w:p w14:paraId="4C7500A3" w14:textId="70377249" w:rsidR="00931890" w:rsidRDefault="00AB6228" w:rsidP="00931890">
                        <w:pPr>
                          <w:jc w:val="center"/>
                          <w:rPr>
                            <w:rFonts w:eastAsia="Microsoft JhengHei"/>
                            <w:b/>
                            <w:bCs/>
                            <w:sz w:val="16"/>
                            <w:szCs w:val="16"/>
                          </w:rPr>
                        </w:pPr>
                        <w:r>
                          <w:rPr>
                            <w:rFonts w:eastAsia="Microsoft JhengHei"/>
                            <w:b/>
                            <w:bCs/>
                            <w:sz w:val="16"/>
                            <w:szCs w:val="16"/>
                          </w:rPr>
                          <w:t>24,</w:t>
                        </w:r>
                        <w:r w:rsidR="00A166E2">
                          <w:rPr>
                            <w:rFonts w:eastAsia="Microsoft JhengHei"/>
                            <w:b/>
                            <w:bCs/>
                            <w:sz w:val="16"/>
                            <w:szCs w:val="16"/>
                          </w:rPr>
                          <w:t>2</w:t>
                        </w:r>
                        <w:r>
                          <w:rPr>
                            <w:rFonts w:eastAsia="Microsoft JhengHei"/>
                            <w:b/>
                            <w:bCs/>
                            <w:sz w:val="16"/>
                            <w:szCs w:val="16"/>
                          </w:rPr>
                          <w:t>00</w:t>
                        </w:r>
                      </w:p>
                    </w:txbxContent>
                  </v:textbox>
                </v:rect>
                <v:rect id="Rectangle 268395320" o:spid="_x0000_s1048" style="position:absolute;left:10001;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" fillcolor="#c4c5c6" stroked="f" strokeweight="2pt">
                  <v:fill opacity="32896f"/>
                  <v:textbox inset="0,0,0,0">
                    <w:txbxContent>
                      <w:p w14:paraId="6AB2C23A" w14:textId="1BE0EC5A" w:rsidR="00931890" w:rsidRDefault="00AB6228" w:rsidP="00931890">
                        <w:pPr>
                          <w:jc w:val="center"/>
                          <w:rPr>
                            <w:rFonts w:eastAsia="Microsoft JhengHei"/>
                            <w:b/>
                            <w:bCs/>
                            <w:sz w:val="16"/>
                            <w:szCs w:val="16"/>
                          </w:rPr>
                        </w:pPr>
                        <w:r>
                          <w:rPr>
                            <w:rFonts w:eastAsia="Microsoft JhengHei"/>
                            <w:b/>
                            <w:bCs/>
                            <w:sz w:val="16"/>
                            <w:szCs w:val="16"/>
                          </w:rPr>
                          <w:t>2</w:t>
                        </w:r>
                        <w:r w:rsidR="00A166E2">
                          <w:rPr>
                            <w:rFonts w:eastAsia="Microsoft JhengHei"/>
                            <w:b/>
                            <w:bCs/>
                            <w:sz w:val="16"/>
                            <w:szCs w:val="16"/>
                          </w:rPr>
                          <w:t>5</w:t>
                        </w:r>
                        <w:r>
                          <w:rPr>
                            <w:rFonts w:eastAsia="Microsoft JhengHei"/>
                            <w:b/>
                            <w:bCs/>
                            <w:sz w:val="16"/>
                            <w:szCs w:val="16"/>
                          </w:rPr>
                          <w:t>,</w:t>
                        </w:r>
                        <w:r w:rsidR="00A166E2">
                          <w:rPr>
                            <w:rFonts w:eastAsia="Microsoft JhengHei"/>
                            <w:b/>
                            <w:bCs/>
                            <w:sz w:val="16"/>
                            <w:szCs w:val="16"/>
                          </w:rPr>
                          <w:t>7</w:t>
                        </w:r>
                        <w:r>
                          <w:rPr>
                            <w:rFonts w:eastAsia="Microsoft JhengHei"/>
                            <w:b/>
                            <w:bCs/>
                            <w:sz w:val="16"/>
                            <w:szCs w:val="16"/>
                          </w:rPr>
                          <w:t>00</w:t>
                        </w:r>
                      </w:p>
                    </w:txbxContent>
                  </v:textbox>
                </v:rect>
                <v:rect id="Rectangle 9399524" o:spid="_x0000_s1049" style="position:absolute;left:15049;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" fillcolor="#c4c5c6" stroked="f" strokeweight="2pt">
                  <v:fill opacity="32896f"/>
                  <v:textbox inset="0,0,0,0">
                    <w:txbxContent>
                      <w:p w14:paraId="267CDD7E" w14:textId="2292BAAE" w:rsidR="00931890" w:rsidRDefault="00AB6228" w:rsidP="00931890">
                        <w:pPr>
                          <w:jc w:val="center"/>
                          <w:rPr>
                            <w:rFonts w:eastAsia="Microsoft JhengHei"/>
                            <w:b/>
                            <w:bCs/>
                            <w:sz w:val="16"/>
                            <w:szCs w:val="16"/>
                          </w:rPr>
                        </w:pPr>
                        <w:r>
                          <w:rPr>
                            <w:rFonts w:eastAsia="Microsoft JhengHei"/>
                            <w:b/>
                            <w:bCs/>
                            <w:sz w:val="16"/>
                            <w:szCs w:val="16"/>
                          </w:rPr>
                          <w:t>2</w:t>
                        </w:r>
                        <w:r w:rsidR="00A166E2">
                          <w:rPr>
                            <w:rFonts w:eastAsia="Microsoft JhengHei"/>
                            <w:b/>
                            <w:bCs/>
                            <w:sz w:val="16"/>
                            <w:szCs w:val="16"/>
                          </w:rPr>
                          <w:t>7</w:t>
                        </w:r>
                        <w:r>
                          <w:rPr>
                            <w:rFonts w:eastAsia="Microsoft JhengHei"/>
                            <w:b/>
                            <w:bCs/>
                            <w:sz w:val="16"/>
                            <w:szCs w:val="16"/>
                          </w:rPr>
                          <w:t>,</w:t>
                        </w:r>
                        <w:r w:rsidR="00A166E2">
                          <w:rPr>
                            <w:rFonts w:eastAsia="Microsoft JhengHei"/>
                            <w:b/>
                            <w:bCs/>
                            <w:sz w:val="16"/>
                            <w:szCs w:val="16"/>
                          </w:rPr>
                          <w:t>1</w:t>
                        </w:r>
                        <w:r>
                          <w:rPr>
                            <w:rFonts w:eastAsia="Microsoft JhengHei"/>
                            <w:b/>
                            <w:bCs/>
                            <w:sz w:val="16"/>
                            <w:szCs w:val="16"/>
                          </w:rPr>
                          <w:t>00</w:t>
                        </w:r>
                      </w:p>
                    </w:txbxContent>
                  </v:textbox>
                </v:rect>
                <v:rect id="Rectangle 218867698" o:spid="_x0000_s1050" style="position:absolute;left:20097;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" fillcolor="#c4c5c6" stroked="f" strokeweight="2pt">
                  <v:fill opacity="32896f"/>
                  <v:textbox inset="0,0,0,0">
                    <w:txbxContent>
                      <w:p w14:paraId="744F7BD6" w14:textId="7DD4C350" w:rsidR="00931890" w:rsidRDefault="00AB6228" w:rsidP="00931890">
                        <w:pPr>
                          <w:jc w:val="center"/>
                          <w:rPr>
                            <w:rFonts w:eastAsia="Microsoft JhengHei"/>
                            <w:b/>
                            <w:bCs/>
                            <w:sz w:val="16"/>
                            <w:szCs w:val="16"/>
                          </w:rPr>
                        </w:pPr>
                        <w:r>
                          <w:rPr>
                            <w:rFonts w:eastAsia="Microsoft JhengHei"/>
                            <w:b/>
                            <w:bCs/>
                            <w:sz w:val="16"/>
                            <w:szCs w:val="16"/>
                          </w:rPr>
                          <w:t>2</w:t>
                        </w:r>
                        <w:r w:rsidR="00A166E2">
                          <w:rPr>
                            <w:rFonts w:eastAsia="Microsoft JhengHei"/>
                            <w:b/>
                            <w:bCs/>
                            <w:sz w:val="16"/>
                            <w:szCs w:val="16"/>
                          </w:rPr>
                          <w:t>8</w:t>
                        </w:r>
                        <w:r>
                          <w:rPr>
                            <w:rFonts w:eastAsia="Microsoft JhengHei"/>
                            <w:b/>
                            <w:bCs/>
                            <w:sz w:val="16"/>
                            <w:szCs w:val="16"/>
                          </w:rPr>
                          <w:t>,</w:t>
                        </w:r>
                        <w:r w:rsidR="00A166E2">
                          <w:rPr>
                            <w:rFonts w:eastAsia="Microsoft JhengHei"/>
                            <w:b/>
                            <w:bCs/>
                            <w:sz w:val="16"/>
                            <w:szCs w:val="16"/>
                          </w:rPr>
                          <w:t>1</w:t>
                        </w:r>
                        <w:r>
                          <w:rPr>
                            <w:rFonts w:eastAsia="Microsoft JhengHei"/>
                            <w:b/>
                            <w:bCs/>
                            <w:sz w:val="16"/>
                            <w:szCs w:val="16"/>
                          </w:rPr>
                          <w:t>00</w:t>
                        </w:r>
                      </w:p>
                    </w:txbxContent>
                  </v:textbox>
                </v:rect>
                <v:rect id="Rectangle 1128163750" o:spid="_x0000_s1051" style="position:absolute;left:25050;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" fillcolor="#c4c5c6" stroked="f" strokeweight="2pt">
                  <v:fill opacity="32896f"/>
                  <v:textbox inset="0,0,0,0">
                    <w:txbxContent>
                      <w:p w14:paraId="6DC052F1" w14:textId="049D9363" w:rsidR="00931890" w:rsidRDefault="00AB6228" w:rsidP="00931890">
                        <w:pPr>
                          <w:jc w:val="center"/>
                          <w:rPr>
                            <w:rFonts w:eastAsia="Microsoft JhengHei"/>
                            <w:b/>
                            <w:bCs/>
                            <w:sz w:val="16"/>
                            <w:szCs w:val="16"/>
                          </w:rPr>
                        </w:pPr>
                        <w:r>
                          <w:rPr>
                            <w:rFonts w:eastAsia="Microsoft JhengHei"/>
                            <w:b/>
                            <w:bCs/>
                            <w:sz w:val="16"/>
                            <w:szCs w:val="16"/>
                          </w:rPr>
                          <w:t>28,</w:t>
                        </w:r>
                        <w:r w:rsidR="00A166E2">
                          <w:rPr>
                            <w:rFonts w:eastAsia="Microsoft JhengHei"/>
                            <w:b/>
                            <w:bCs/>
                            <w:sz w:val="16"/>
                            <w:szCs w:val="16"/>
                          </w:rPr>
                          <w:t>4</w:t>
                        </w:r>
                        <w:r>
                          <w:rPr>
                            <w:rFonts w:eastAsia="Microsoft JhengHei"/>
                            <w:b/>
                            <w:bCs/>
                            <w:sz w:val="16"/>
                            <w:szCs w:val="16"/>
                          </w:rPr>
                          <w:t>00</w:t>
                        </w:r>
                      </w:p>
                    </w:txbxContent>
                  </v:textbox>
                </v:rect>
                <v:rect id="Rectangle 116088215" o:spid="_x0000_s1052" style="position:absolute;left:30099;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" fillcolor="#c4c5c6" stroked="f" strokeweight="2pt">
                  <v:fill opacity="32896f"/>
                  <v:textbox inset="0,0,0,0">
                    <w:txbxContent>
                      <w:p w14:paraId="193EF274" w14:textId="6B9A1CAE" w:rsidR="00931890" w:rsidRDefault="00AB6228" w:rsidP="00931890">
                        <w:pPr>
                          <w:jc w:val="center"/>
                          <w:rPr>
                            <w:rFonts w:eastAsia="Microsoft JhengHei"/>
                            <w:b/>
                            <w:bCs/>
                            <w:sz w:val="16"/>
                            <w:szCs w:val="16"/>
                          </w:rPr>
                        </w:pPr>
                        <w:r>
                          <w:rPr>
                            <w:rFonts w:eastAsia="Microsoft JhengHei"/>
                            <w:b/>
                            <w:bCs/>
                            <w:sz w:val="16"/>
                            <w:szCs w:val="16"/>
                          </w:rPr>
                          <w:t>2</w:t>
                        </w:r>
                        <w:r w:rsidR="00A166E2">
                          <w:rPr>
                            <w:rFonts w:eastAsia="Microsoft JhengHei"/>
                            <w:b/>
                            <w:bCs/>
                            <w:sz w:val="16"/>
                            <w:szCs w:val="16"/>
                          </w:rPr>
                          <w:t>7</w:t>
                        </w:r>
                        <w:r>
                          <w:rPr>
                            <w:rFonts w:eastAsia="Microsoft JhengHei"/>
                            <w:b/>
                            <w:bCs/>
                            <w:sz w:val="16"/>
                            <w:szCs w:val="16"/>
                          </w:rPr>
                          <w:t>,</w:t>
                        </w:r>
                        <w:r w:rsidR="00A166E2">
                          <w:rPr>
                            <w:rFonts w:eastAsia="Microsoft JhengHei"/>
                            <w:b/>
                            <w:bCs/>
                            <w:sz w:val="16"/>
                            <w:szCs w:val="16"/>
                          </w:rPr>
                          <w:t>7</w:t>
                        </w:r>
                        <w:r>
                          <w:rPr>
                            <w:rFonts w:eastAsia="Microsoft JhengHei"/>
                            <w:b/>
                            <w:bCs/>
                            <w:sz w:val="16"/>
                            <w:szCs w:val="16"/>
                          </w:rPr>
                          <w:t>00</w:t>
                        </w:r>
                      </w:p>
                    </w:txbxContent>
                  </v:textbox>
                </v:rect>
                <v:rect id="Rectangle 800407449" o:spid="_x0000_s1053" style="position:absolute;left:35147;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" fillcolor="#c4c5c6" stroked="f" strokeweight="2pt">
                  <v:fill opacity="32896f"/>
                  <v:textbox inset="0,0,0,0">
                    <w:txbxContent>
                      <w:p w14:paraId="4451CD10" w14:textId="050933EC" w:rsidR="00931890" w:rsidRDefault="00AB6228" w:rsidP="00931890">
                        <w:pPr>
                          <w:jc w:val="center"/>
                          <w:rPr>
                            <w:rFonts w:eastAsia="Microsoft JhengHei"/>
                            <w:b/>
                            <w:bCs/>
                            <w:sz w:val="16"/>
                            <w:szCs w:val="16"/>
                          </w:rPr>
                        </w:pPr>
                        <w:r>
                          <w:rPr>
                            <w:rFonts w:eastAsia="Microsoft JhengHei"/>
                            <w:b/>
                            <w:bCs/>
                            <w:sz w:val="16"/>
                            <w:szCs w:val="16"/>
                          </w:rPr>
                          <w:t>2</w:t>
                        </w:r>
                        <w:r w:rsidR="00A166E2">
                          <w:rPr>
                            <w:rFonts w:eastAsia="Microsoft JhengHei"/>
                            <w:b/>
                            <w:bCs/>
                            <w:sz w:val="16"/>
                            <w:szCs w:val="16"/>
                          </w:rPr>
                          <w:t>6</w:t>
                        </w:r>
                        <w:r>
                          <w:rPr>
                            <w:rFonts w:eastAsia="Microsoft JhengHei"/>
                            <w:b/>
                            <w:bCs/>
                            <w:sz w:val="16"/>
                            <w:szCs w:val="16"/>
                          </w:rPr>
                          <w:t>,</w:t>
                        </w:r>
                        <w:r w:rsidR="00A166E2">
                          <w:rPr>
                            <w:rFonts w:eastAsia="Microsoft JhengHei"/>
                            <w:b/>
                            <w:bCs/>
                            <w:sz w:val="16"/>
                            <w:szCs w:val="16"/>
                          </w:rPr>
                          <w:t>1</w:t>
                        </w:r>
                        <w:r>
                          <w:rPr>
                            <w:rFonts w:eastAsia="Microsoft JhengHei"/>
                            <w:b/>
                            <w:bCs/>
                            <w:sz w:val="16"/>
                            <w:szCs w:val="16"/>
                          </w:rPr>
                          <w:t>00</w:t>
                        </w:r>
                      </w:p>
                    </w:txbxContent>
                  </v:textbox>
                </v:rect>
                <v:rect id="Rectangle 511678707" o:spid="_x0000_s1054" style="position:absolute;left:40100;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" fillcolor="#c4c5c6" stroked="f" strokeweight="2pt">
                  <v:fill opacity="32896f"/>
                  <v:textbox inset="0,0,0,0">
                    <w:txbxContent>
                      <w:p w14:paraId="2F4C0874" w14:textId="688F9132" w:rsidR="00931890" w:rsidRDefault="00AB6228" w:rsidP="00931890">
                        <w:pPr>
                          <w:jc w:val="center"/>
                          <w:rPr>
                            <w:rFonts w:eastAsia="Microsoft JhengHei"/>
                            <w:b/>
                            <w:bCs/>
                            <w:sz w:val="16"/>
                            <w:szCs w:val="16"/>
                          </w:rPr>
                        </w:pPr>
                        <w:r>
                          <w:rPr>
                            <w:rFonts w:eastAsia="Microsoft JhengHei"/>
                            <w:b/>
                            <w:bCs/>
                            <w:sz w:val="16"/>
                            <w:szCs w:val="16"/>
                          </w:rPr>
                          <w:t>2</w:t>
                        </w:r>
                        <w:r w:rsidR="00A166E2">
                          <w:rPr>
                            <w:rFonts w:eastAsia="Microsoft JhengHei"/>
                            <w:b/>
                            <w:bCs/>
                            <w:sz w:val="16"/>
                            <w:szCs w:val="16"/>
                          </w:rPr>
                          <w:t>3</w:t>
                        </w:r>
                        <w:r>
                          <w:rPr>
                            <w:rFonts w:eastAsia="Microsoft JhengHei"/>
                            <w:b/>
                            <w:bCs/>
                            <w:sz w:val="16"/>
                            <w:szCs w:val="16"/>
                          </w:rPr>
                          <w:t>,900</w:t>
                        </w:r>
                      </w:p>
                    </w:txbxContent>
                  </v:textbox>
                </v:rect>
                <v:rect id="Rectangle 826962799" o:spid="_x0000_s1055" style="position:absolute;left:45148;width:3810;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" fillcolor="#c4c5c6" stroked="f" strokeweight="2pt">
                  <v:fill opacity="32896f"/>
                  <v:textbox inset="0,0,0,0">
                    <w:txbxContent>
                      <w:p w14:paraId="2B4B6B3B" w14:textId="437A3E72" w:rsidR="00931890" w:rsidRDefault="00A166E2" w:rsidP="00931890">
                        <w:pPr>
                          <w:jc w:val="center"/>
                          <w:rPr>
                            <w:rFonts w:eastAsia="Microsoft JhengHei"/>
                            <w:b/>
                            <w:bCs/>
                            <w:sz w:val="16"/>
                            <w:szCs w:val="16"/>
                          </w:rPr>
                        </w:pPr>
                        <w:r>
                          <w:rPr>
                            <w:rFonts w:eastAsia="Microsoft JhengHei"/>
                            <w:b/>
                            <w:bCs/>
                            <w:sz w:val="16"/>
                            <w:szCs w:val="16"/>
                          </w:rPr>
                          <w:t>21</w:t>
                        </w:r>
                        <w:r w:rsidR="00AB6228">
                          <w:rPr>
                            <w:rFonts w:eastAsia="Microsoft JhengHei"/>
                            <w:b/>
                            <w:bCs/>
                            <w:sz w:val="16"/>
                            <w:szCs w:val="16"/>
                          </w:rPr>
                          <w:t>,</w:t>
                        </w:r>
                        <w:r>
                          <w:rPr>
                            <w:rFonts w:eastAsia="Microsoft JhengHei"/>
                            <w:b/>
                            <w:bCs/>
                            <w:sz w:val="16"/>
                            <w:szCs w:val="16"/>
                          </w:rPr>
                          <w:t>5</w:t>
                        </w:r>
                        <w:r w:rsidR="00AB6228">
                          <w:rPr>
                            <w:rFonts w:eastAsia="Microsoft JhengHei"/>
                            <w:b/>
                            <w:bCs/>
                            <w:sz w:val="16"/>
                            <w:szCs w:val="16"/>
                          </w:rPr>
                          <w:t>00</w:t>
                        </w:r>
                      </w:p>
                    </w:txbxContent>
                  </v:textbox>
                </v:rect>
              </v:group>
            </w:pict>
          </mc:Fallback>
        </mc:AlternateContent>
      </w:r>
      <w:r w:rsidR="0081445B" w:rsidRPr="005B5BB8">
        <w:rPr>
          <w:color w:val="6D6E71" w:themeColor="accent3"/>
          <w:sz w:val="18"/>
        </w:rPr>
        <w:t xml:space="preserve">Figure </w:t>
      </w:r>
      <w:r w:rsidR="0081445B" w:rsidRPr="005B5BB8">
        <w:rPr>
          <w:color w:val="6D6E71" w:themeColor="accent3"/>
          <w:sz w:val="18"/>
        </w:rPr>
        <w:fldChar w:fldCharType="begin"/>
      </w:r>
      <w:r w:rsidR="0081445B" w:rsidRPr="005B5BB8">
        <w:rPr>
          <w:color w:val="6D6E71" w:themeColor="accent3"/>
          <w:sz w:val="18"/>
        </w:rPr>
        <w:instrText xml:space="preserve"> SEQ Figure \* ARABIC </w:instrText>
      </w:r>
      <w:r w:rsidR="0081445B" w:rsidRPr="005B5BB8">
        <w:rPr>
          <w:color w:val="6D6E71" w:themeColor="accent3"/>
          <w:sz w:val="18"/>
        </w:rPr>
        <w:fldChar w:fldCharType="separate"/>
      </w:r>
      <w:r w:rsidR="004775B5">
        <w:rPr>
          <w:noProof/>
          <w:color w:val="6D6E71" w:themeColor="accent3"/>
          <w:sz w:val="18"/>
        </w:rPr>
        <w:t>8</w:t>
      </w:r>
      <w:r w:rsidR="0081445B" w:rsidRPr="005B5BB8">
        <w:rPr>
          <w:color w:val="6D6E71" w:themeColor="accent3"/>
          <w:sz w:val="18"/>
        </w:rPr>
        <w:fldChar w:fldCharType="end"/>
      </w:r>
      <w:r w:rsidR="0081445B" w:rsidRPr="005B5BB8">
        <w:rPr>
          <w:color w:val="6D6E71" w:themeColor="accent3"/>
          <w:sz w:val="18"/>
        </w:rPr>
        <w:t>:</w:t>
      </w:r>
      <w:r w:rsidR="0081445B">
        <w:t xml:space="preserve"> </w:t>
      </w:r>
      <w:r w:rsidR="0081445B" w:rsidRPr="008470B7">
        <w:rPr>
          <w:color w:val="6D6E71" w:themeColor="accent3"/>
          <w:sz w:val="18"/>
        </w:rPr>
        <w:t xml:space="preserve">Projected labour supply coverage </w:t>
      </w:r>
      <w:r w:rsidR="0081445B">
        <w:rPr>
          <w:color w:val="6D6E71" w:themeColor="accent3"/>
          <w:sz w:val="18"/>
        </w:rPr>
        <w:t xml:space="preserve">and resultant workforce gap </w:t>
      </w:r>
      <w:r w:rsidR="0081445B" w:rsidRPr="008470B7">
        <w:rPr>
          <w:color w:val="6D6E71" w:themeColor="accent3"/>
          <w:sz w:val="18"/>
        </w:rPr>
        <w:t xml:space="preserve">under the </w:t>
      </w:r>
      <w:r w:rsidR="00236ADA" w:rsidRPr="00236ADA">
        <w:rPr>
          <w:b/>
          <w:bCs/>
          <w:color w:val="6D6E71" w:themeColor="accent3"/>
          <w:sz w:val="18"/>
          <w:u w:val="single"/>
        </w:rPr>
        <w:t>low-demand</w:t>
      </w:r>
      <w:r w:rsidR="0081445B" w:rsidRPr="008470B7">
        <w:rPr>
          <w:color w:val="6D6E71" w:themeColor="accent3"/>
          <w:sz w:val="18"/>
        </w:rPr>
        <w:t xml:space="preserve"> delivery scenario</w:t>
      </w:r>
      <w:r w:rsidR="0081445B">
        <w:t xml:space="preserve">, </w:t>
      </w:r>
      <w:r w:rsidR="0081445B" w:rsidRPr="008470B7">
        <w:rPr>
          <w:color w:val="6D6E71" w:themeColor="accent3"/>
          <w:sz w:val="18"/>
        </w:rPr>
        <w:t>expressed as share of demand met</w:t>
      </w:r>
      <w:r w:rsidR="0081445B" w:rsidRPr="00D07926">
        <w:rPr>
          <w:noProof/>
        </w:rPr>
        <w:t xml:space="preserve"> </w:t>
      </w:r>
      <w:r w:rsidR="0081445B" w:rsidRPr="00F81AFD">
        <w:rPr>
          <w:color w:val="6D6E71" w:themeColor="accent3"/>
          <w:sz w:val="18"/>
        </w:rPr>
        <w:t>(total labour demand in grey boxes)</w:t>
      </w:r>
      <w:r w:rsidRPr="00931890">
        <w:rPr>
          <w:noProof/>
        </w:rPr>
        <w:t xml:space="preserve"> </w:t>
      </w:r>
      <w:r>
        <w:rPr>
          <w:noProof/>
        </w:rPr>
        <w:drawing>
          <wp:anchor distT="0" distB="0" distL="114300" distR="114300" simplePos="0" relativeHeight="251660317" behindDoc="0" locked="0" layoutInCell="1" allowOverlap="1" wp14:anchorId="74068C3E" wp14:editId="65FF5293">
            <wp:simplePos x="0" y="0"/>
            <wp:positionH relativeFrom="column">
              <wp:posOffset>0</wp:posOffset>
            </wp:positionH>
            <wp:positionV relativeFrom="paragraph">
              <wp:posOffset>314960</wp:posOffset>
            </wp:positionV>
            <wp:extent cx="5746750" cy="3401695"/>
            <wp:effectExtent l="0" t="0" r="6350" b="8255"/>
            <wp:wrapTopAndBottom/>
            <wp:docPr id="1120707853" name="Chart 1" descr="Stacked bar chart showing projected labour demand and labour supply under the low-demand scenario from 2025/26 to 2034/35. Labour demand rises in the near term before stabilising and easing later in the period, while labour supply declines steadily, producing workforce gaps that widen initially before narrowing towards the end of the forecast period.">
              <a:extLst xmlns:a="http://schemas.openxmlformats.org/drawingml/2006/main">
                <a:ext uri="{FF2B5EF4-FFF2-40B4-BE49-F238E27FC236}">
                  <a16:creationId xmlns:a16="http://schemas.microsoft.com/office/drawing/2014/main" id="{DCBED420-C952-4052-A1A4-EFFA727AD9A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anchor>
        </w:drawing>
      </w:r>
    </w:p>
    <w:p w14:paraId="66698F4B" w14:textId="3C7EEA57" w:rsidR="00500E5E" w:rsidRPr="002704AC" w:rsidRDefault="0081445B" w:rsidP="002704AC">
      <w:pPr>
        <w:tabs>
          <w:tab w:val="left" w:pos="1170"/>
        </w:tabs>
        <w:jc w:val="right"/>
        <w:rPr>
          <w:color w:val="6D6E71" w:themeColor="accent3"/>
          <w:sz w:val="18"/>
          <w:szCs w:val="16"/>
        </w:rPr>
      </w:pPr>
      <w:r>
        <w:rPr>
          <w:color w:val="6D6E71" w:themeColor="accent3"/>
          <w:sz w:val="18"/>
          <w:szCs w:val="16"/>
        </w:rPr>
        <w:t>Source: Various, Cebr analysis</w:t>
      </w:r>
    </w:p>
    <w:p w14:paraId="63397FFD" w14:textId="2F9FBEA5" w:rsidR="0067654C" w:rsidRDefault="0067654C" w:rsidP="0067654C">
      <w:pPr>
        <w:spacing w:after="120" w:line="278" w:lineRule="auto"/>
        <w:jc w:val="both"/>
      </w:pPr>
      <w:r>
        <w:t>Lastly, Figure 8 presents the low-demand delivery scenario, completing the comparison by illustrating workforce dynamics under a pathway in which retrofit delivery does not sustain acceleration relative to CCC pathways. In contrast to the base and high-demand cases, workforce gaps are smaller in scale, but they are present from the outset. In 2025/26, labour supply meets around 98% of demand, leaving a modest shortfall of around 500 workers.</w:t>
      </w:r>
    </w:p>
    <w:p w14:paraId="5228E5D7" w14:textId="0322E1D1" w:rsidR="0067654C" w:rsidRDefault="0067654C" w:rsidP="0067654C">
      <w:pPr>
        <w:spacing w:after="120" w:line="278" w:lineRule="auto"/>
        <w:jc w:val="both"/>
      </w:pPr>
      <w:r>
        <w:t>As the scenario progresses however, labour demand rises through the late 2020s while labour supply continues to contract, causing workforce gaps to widen. Resultantly, shortfalls persist through much of the forecast period and peak in the early 2030s, before easing thereafter as delivery volumes stabilise and then decline. By 2034/35, labour supply meets a greater share of demand, with coverage rising to around 88% and the workforce gap narrowing to approximately 2,500 workers, compared to its horizon peak of 7,400 workers in 2030/31. This U-shaped trajectory of the labour supply coverage demonstrates that while lower ambition reduces the scale of workforce shortages over time, it does not eliminate them entirely. Rather, for this scenario specifically, improvements in workforce balance arise from easing demand rather than any strengthening of labour supply, reinforcing the sensitivity of workforce pressures to delivery trajectories rather than changes in underlying workforce capacity.</w:t>
      </w:r>
    </w:p>
    <w:p w14:paraId="0C929E8B" w14:textId="22B05733" w:rsidR="002704AC" w:rsidRDefault="002704AC" w:rsidP="002704AC">
      <w:pPr>
        <w:spacing w:after="120" w:line="278" w:lineRule="auto"/>
        <w:jc w:val="both"/>
      </w:pPr>
      <w:r>
        <w:t>.</w:t>
      </w:r>
    </w:p>
    <w:p w14:paraId="7013F72D" w14:textId="69A81F1C" w:rsidR="002704AC" w:rsidRDefault="002704AC" w:rsidP="002704AC">
      <w:pPr>
        <w:pStyle w:val="Heading1"/>
        <w:spacing w:before="240" w:after="240"/>
        <w:rPr>
          <w:rFonts w:ascii="Helvetica Neue LT Std 65 Medium" w:hAnsi="Helvetica Neue LT Std 65 Medium"/>
        </w:rPr>
      </w:pPr>
      <w:bookmarkStart w:id="34" w:name="_Toc221182669"/>
      <w:r>
        <w:rPr>
          <w:rFonts w:ascii="Helvetica Neue LT Std 65 Medium" w:hAnsi="Helvetica Neue LT Std 65 Medium"/>
        </w:rPr>
        <w:lastRenderedPageBreak/>
        <w:t>Conclusion</w:t>
      </w:r>
      <w:bookmarkEnd w:id="34"/>
    </w:p>
    <w:p w14:paraId="3A1DF4B1" w14:textId="5D761F2E" w:rsidR="00CD0C2E" w:rsidRDefault="00CD0C2E" w:rsidP="00CD0C2E">
      <w:pPr>
        <w:spacing w:after="120" w:line="278" w:lineRule="auto"/>
        <w:jc w:val="both"/>
      </w:pPr>
      <w:r>
        <w:t>This report has assessed the scale of workforce required to deliver home retrofitting in Wales over the coming decade and compared this with projected labour supply under a range of installation delivery and supply-side assumptions. Under the base scenario, labour demand rises sharply as retrofit activity accelerates, while labour supply contracts gradually due to replacement demand, limited apprenticeship inflows, and sustained cross-border out-commuting. This results in a widening workforce gap, reaching tens of thousands of workers by the mid-2030s. Under the high-demand scenario, this gap emerges earlier and grows more rapidly</w:t>
      </w:r>
      <w:r w:rsidR="0067654C">
        <w:t xml:space="preserve">. </w:t>
      </w:r>
      <w:r w:rsidR="0020405C">
        <w:t>Even under the low-demand scenario, workforce gaps are present from the outset, albeit smaller in scale</w:t>
      </w:r>
      <w:r>
        <w:t>, though only as a consequence of materially weaker delivery ambition.</w:t>
      </w:r>
    </w:p>
    <w:p w14:paraId="190CA47D" w14:textId="2536CA3D" w:rsidR="00CD0C2E" w:rsidRDefault="00CD0C2E" w:rsidP="00CD0C2E">
      <w:pPr>
        <w:spacing w:after="120" w:line="278" w:lineRule="auto"/>
        <w:jc w:val="both"/>
      </w:pPr>
      <w:r>
        <w:t>The findings underline that existing labour market dynamics are unlikely to deliver the workforce required to meet Wales’s retrofit and decarbonisation objectives at scale. Incremental increases in apprenticeship funding, reductions in out-commuting, or modest redeployment from adjacent occupations can alleviate pressures at the margin, but none of these mechanisms, either individually or in combination as currently configured, are sufficient to close the projected gaps. In particular, shortages in direct installation roles persist as the primary constraint, even where wider supervisory or support capacity is available. This indicates that meeting retrofit targets will require a step change in how workforce capacity is developed, coordinated, and retained, rather than reliance on organic labour market adjustment.</w:t>
      </w:r>
    </w:p>
    <w:p w14:paraId="7E0817F3" w14:textId="22E7D36B" w:rsidR="00CD0C2E" w:rsidRDefault="00CD0C2E" w:rsidP="00CD0C2E">
      <w:pPr>
        <w:spacing w:after="120" w:line="278" w:lineRule="auto"/>
        <w:jc w:val="both"/>
      </w:pPr>
      <w:r>
        <w:t>At the same time, the analysis highlights that the adjacent workforce identified in this study represents a potentially important source of additional capacity, currently standing around 115,000 workers. While the redeployment scenarios modelled here are deliberately conservative, reflecting evidence that only 1% to 2% of workers typically move across sectors in a given year, these conservative estimates still provide the largest relief in terms of reducing the workforce gap (for example, under the high redeployment scenario, our analysis suggests an additional 1,800 to 2,300 workers per year). More ambitious and sustained redeployment, beyond the bounds modelled in this report, could therefore play a larger role in alleviating workforce pressures if supported by a reduction in frictions, including targeted retraining, streamlined accreditation, employer coordination, and clear long-term signals of retrofit demand.</w:t>
      </w:r>
    </w:p>
    <w:p w14:paraId="35D9215C" w14:textId="161E1A63" w:rsidR="002704AC" w:rsidRDefault="00CD0C2E" w:rsidP="00CD0C2E">
      <w:pPr>
        <w:spacing w:after="120" w:line="278" w:lineRule="auto"/>
        <w:jc w:val="both"/>
      </w:pPr>
      <w:r>
        <w:t xml:space="preserve">From a policy perspective, the results imply that retrofit delivery and workforce strategy must be considered jointly. Ambitious delivery pathways materially increase labour requirements and therefore heighten delivery risk if workforce constraints are not addressed in parallel. Conversely, pathways that appear more feasible from a workforce perspective do so only by implying slower progress towards long-term decarbonisation goals. </w:t>
      </w:r>
      <w:r w:rsidR="000633E8" w:rsidRPr="00167C62">
        <w:t>This means that without early and sustained action to grow the retrofit workforce, labour constraints will continue to limit the pace of delivery.</w:t>
      </w:r>
      <w:r>
        <w:t xml:space="preserve"> A credible route to meeting Wales’s retrofit objectives will therefore require coordinated action across skills policy, funding certainty, labour mobility, and workforce mobilisation to ensure that labour supply expands in line with demand, rather than continuing to act as a binding constraint on delivery.</w:t>
      </w:r>
      <w:r w:rsidR="002704AC">
        <w:br w:type="page"/>
      </w:r>
    </w:p>
    <w:p w14:paraId="421D12B4" w14:textId="6450C478" w:rsidR="00103CB1" w:rsidRPr="00015203" w:rsidRDefault="00103CB1" w:rsidP="003428AF">
      <w:pPr>
        <w:pStyle w:val="Heading1"/>
        <w:spacing w:after="120" w:line="278" w:lineRule="auto"/>
        <w:ind w:right="-4913"/>
        <w:rPr>
          <w:rFonts w:ascii="Helvetica Neue LT Std 65 Medium" w:hAnsi="Helvetica Neue LT Std 65 Medium"/>
          <w:bCs/>
          <w:szCs w:val="44"/>
        </w:rPr>
      </w:pPr>
      <w:bookmarkStart w:id="35" w:name="_Toc221182670"/>
      <w:r w:rsidRPr="00015203">
        <w:rPr>
          <w:rFonts w:ascii="Helvetica Neue LT Std 65 Medium" w:hAnsi="Helvetica Neue LT Std 65 Medium"/>
          <w:bCs/>
          <w:szCs w:val="44"/>
        </w:rPr>
        <w:lastRenderedPageBreak/>
        <w:t>A</w:t>
      </w:r>
      <w:r w:rsidR="003428AF">
        <w:rPr>
          <w:rFonts w:ascii="Helvetica Neue LT Std 65 Medium" w:hAnsi="Helvetica Neue LT Std 65 Medium"/>
          <w:bCs/>
          <w:szCs w:val="44"/>
        </w:rPr>
        <w:t>ppendices</w:t>
      </w:r>
      <w:bookmarkEnd w:id="35"/>
    </w:p>
    <w:p w14:paraId="6D96F87D" w14:textId="2755992E" w:rsidR="00103CB1" w:rsidRPr="0090110B" w:rsidRDefault="00121809" w:rsidP="00456C4A">
      <w:pPr>
        <w:pStyle w:val="Heading2"/>
        <w:numPr>
          <w:ilvl w:val="0"/>
          <w:numId w:val="0"/>
        </w:numPr>
        <w:spacing w:line="278" w:lineRule="auto"/>
      </w:pPr>
      <w:bookmarkStart w:id="36" w:name="_Toc221182671"/>
      <w:r>
        <w:t xml:space="preserve">Appendix </w:t>
      </w:r>
      <w:r w:rsidR="008F06AD">
        <w:t>A</w:t>
      </w:r>
      <w:r>
        <w:t xml:space="preserve"> </w:t>
      </w:r>
      <w:r w:rsidR="00456C4A">
        <w:t xml:space="preserve">– </w:t>
      </w:r>
      <w:r w:rsidR="00103CB1" w:rsidRPr="00015203">
        <w:t>detailed breakdown</w:t>
      </w:r>
      <w:r w:rsidR="003428AF">
        <w:t xml:space="preserve"> of core estimates</w:t>
      </w:r>
      <w:bookmarkEnd w:id="36"/>
    </w:p>
    <w:p w14:paraId="7FFCD92D" w14:textId="790CA71D" w:rsidR="00103CB1" w:rsidRPr="00015203" w:rsidRDefault="00A55933" w:rsidP="00A55933">
      <w:pPr>
        <w:pStyle w:val="Caption"/>
      </w:pPr>
      <w:bookmarkStart w:id="37" w:name="_Hlk214014227"/>
      <w:r w:rsidRPr="00A55933">
        <w:rPr>
          <w:color w:val="6D6E71" w:themeColor="accent3"/>
          <w:sz w:val="18"/>
        </w:rPr>
        <w:t xml:space="preserve">Table </w:t>
      </w:r>
      <w:r w:rsidRPr="00A55933">
        <w:rPr>
          <w:color w:val="6D6E71" w:themeColor="accent3"/>
          <w:sz w:val="18"/>
        </w:rPr>
        <w:fldChar w:fldCharType="begin"/>
      </w:r>
      <w:r w:rsidRPr="00A55933">
        <w:rPr>
          <w:color w:val="6D6E71" w:themeColor="accent3"/>
          <w:sz w:val="18"/>
        </w:rPr>
        <w:instrText xml:space="preserve"> SEQ Table \* ARABIC </w:instrText>
      </w:r>
      <w:r w:rsidRPr="00A55933">
        <w:rPr>
          <w:color w:val="6D6E71" w:themeColor="accent3"/>
          <w:sz w:val="18"/>
        </w:rPr>
        <w:fldChar w:fldCharType="separate"/>
      </w:r>
      <w:r w:rsidR="004775B5">
        <w:rPr>
          <w:noProof/>
          <w:color w:val="6D6E71" w:themeColor="accent3"/>
          <w:sz w:val="18"/>
        </w:rPr>
        <w:t>13</w:t>
      </w:r>
      <w:r w:rsidRPr="00A55933">
        <w:rPr>
          <w:color w:val="6D6E71" w:themeColor="accent3"/>
          <w:sz w:val="18"/>
        </w:rPr>
        <w:fldChar w:fldCharType="end"/>
      </w:r>
      <w:r>
        <w:rPr>
          <w:color w:val="6D6E71" w:themeColor="accent3"/>
          <w:sz w:val="18"/>
        </w:rPr>
        <w:t xml:space="preserve">: </w:t>
      </w:r>
      <w:r w:rsidR="00103CB1" w:rsidRPr="00015203">
        <w:rPr>
          <w:color w:val="6D6E71" w:themeColor="accent3"/>
          <w:sz w:val="18"/>
        </w:rPr>
        <w:t>Core Welsh retrofit workforce capacity estimates by occupational code</w:t>
      </w:r>
      <w:r w:rsidR="00975BD6">
        <w:rPr>
          <w:color w:val="6D6E71" w:themeColor="accent3"/>
          <w:sz w:val="18"/>
        </w:rPr>
        <w:t xml:space="preserve"> and region</w:t>
      </w:r>
      <w:r>
        <w:rPr>
          <w:color w:val="6D6E71" w:themeColor="accent3"/>
          <w:sz w:val="18"/>
        </w:rPr>
        <w:t xml:space="preserve"> [</w:t>
      </w:r>
      <w:r w:rsidR="0090110B" w:rsidRPr="007772F8">
        <w:rPr>
          <w:color w:val="6D6E71" w:themeColor="accent3"/>
          <w:sz w:val="18"/>
        </w:rPr>
        <w:footnoteReference w:id="3"/>
      </w:r>
      <w:r>
        <w:rPr>
          <w:color w:val="6D6E71" w:themeColor="accent3"/>
          <w:sz w:val="18"/>
        </w:rPr>
        <w:t>]</w:t>
      </w:r>
    </w:p>
    <w:tbl>
      <w:tblPr>
        <w:tblW w:w="5000" w:type="pct"/>
        <w:jc w:val="center"/>
        <w:tblLook w:val="04A0" w:firstRow="1" w:lastRow="0" w:firstColumn="1" w:lastColumn="0" w:noHBand="0" w:noVBand="1"/>
        <w:tblCaption w:val="Table 13: Core Welsh retrofit workforce capacity estimates by occupational code and region"/>
        <w:tblDescription w:val="Table showing estimated core retrofit workforce capacity in Wales by occupation (SOC code), functional role, and region, including national totals and regional breakdowns for South East Wales, South West Wales, Mid Wales, and North Wales."/>
      </w:tblPr>
      <w:tblGrid>
        <w:gridCol w:w="3595"/>
        <w:gridCol w:w="1141"/>
        <w:gridCol w:w="862"/>
        <w:gridCol w:w="862"/>
        <w:gridCol w:w="862"/>
        <w:gridCol w:w="862"/>
        <w:gridCol w:w="861"/>
      </w:tblGrid>
      <w:tr w:rsidR="00A55933" w:rsidRPr="00A55933" w14:paraId="16D2B583" w14:textId="6CFA0E1A" w:rsidTr="00A55933">
        <w:trPr>
          <w:trHeight w:val="852"/>
          <w:tblHeader/>
          <w:jc w:val="center"/>
        </w:trPr>
        <w:tc>
          <w:tcPr>
            <w:tcW w:w="1989" w:type="pct"/>
            <w:vMerge w:val="restart"/>
            <w:tcBorders>
              <w:top w:val="single" w:sz="4" w:space="0" w:color="auto"/>
              <w:left w:val="single" w:sz="4" w:space="0" w:color="auto"/>
              <w:bottom w:val="single" w:sz="4" w:space="0" w:color="auto"/>
              <w:right w:val="single" w:sz="4" w:space="0" w:color="auto"/>
            </w:tcBorders>
            <w:shd w:val="clear" w:color="auto" w:fill="C4BC96" w:themeFill="background2" w:themeFillShade="BF"/>
            <w:noWrap/>
            <w:vAlign w:val="center"/>
            <w:hideMark/>
          </w:tcPr>
          <w:bookmarkEnd w:id="37"/>
          <w:p w14:paraId="450E1651" w14:textId="77777777" w:rsidR="00A55933" w:rsidRPr="00A55933" w:rsidRDefault="00A55933" w:rsidP="00975BD6">
            <w:pPr>
              <w:spacing w:after="0"/>
              <w:jc w:val="center"/>
              <w:rPr>
                <w:rFonts w:eastAsia="Times New Roman" w:cs="Calibri"/>
                <w:b/>
                <w:bCs/>
                <w:color w:val="auto"/>
                <w:sz w:val="16"/>
                <w:szCs w:val="16"/>
                <w:lang w:eastAsia="en-GB"/>
              </w:rPr>
            </w:pPr>
            <w:r w:rsidRPr="00A55933">
              <w:rPr>
                <w:rFonts w:eastAsia="Times New Roman" w:cs="Calibri"/>
                <w:b/>
                <w:bCs/>
                <w:color w:val="auto"/>
                <w:sz w:val="16"/>
                <w:szCs w:val="16"/>
                <w:lang w:eastAsia="en-GB"/>
              </w:rPr>
              <w:t>SOC Code</w:t>
            </w:r>
          </w:p>
        </w:tc>
        <w:tc>
          <w:tcPr>
            <w:tcW w:w="622" w:type="pct"/>
            <w:vMerge w:val="restar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487AF2DF" w14:textId="77777777" w:rsidR="00A55933" w:rsidRPr="00A55933" w:rsidRDefault="00A55933" w:rsidP="00975BD6">
            <w:pPr>
              <w:spacing w:after="0"/>
              <w:jc w:val="center"/>
              <w:rPr>
                <w:rFonts w:eastAsia="Times New Roman" w:cs="Calibri"/>
                <w:b/>
                <w:bCs/>
                <w:color w:val="auto"/>
                <w:sz w:val="16"/>
                <w:szCs w:val="16"/>
                <w:lang w:eastAsia="en-GB"/>
              </w:rPr>
            </w:pPr>
            <w:r w:rsidRPr="00A55933">
              <w:rPr>
                <w:rFonts w:eastAsia="Times New Roman" w:cs="Calibri"/>
                <w:b/>
                <w:bCs/>
                <w:color w:val="auto"/>
                <w:sz w:val="16"/>
                <w:szCs w:val="16"/>
                <w:lang w:eastAsia="en-GB"/>
              </w:rPr>
              <w:t>Function</w:t>
            </w:r>
          </w:p>
        </w:tc>
        <w:tc>
          <w:tcPr>
            <w:tcW w:w="2389" w:type="pct"/>
            <w:gridSpan w:val="5"/>
            <w:tcBorders>
              <w:top w:val="single" w:sz="4" w:space="0" w:color="auto"/>
              <w:left w:val="single" w:sz="4" w:space="0" w:color="auto"/>
              <w:bottom w:val="single" w:sz="4" w:space="0" w:color="auto"/>
            </w:tcBorders>
            <w:shd w:val="clear" w:color="auto" w:fill="C4BC96" w:themeFill="background2" w:themeFillShade="BF"/>
            <w:vAlign w:val="center"/>
            <w:hideMark/>
          </w:tcPr>
          <w:p w14:paraId="4FFBFD72" w14:textId="3BC05AEB" w:rsidR="00A55933" w:rsidRPr="00A55933" w:rsidRDefault="00A55933" w:rsidP="00975BD6">
            <w:pPr>
              <w:spacing w:after="0"/>
              <w:jc w:val="center"/>
              <w:rPr>
                <w:rFonts w:eastAsia="Times New Roman" w:cs="Calibri"/>
                <w:b/>
                <w:bCs/>
                <w:color w:val="auto"/>
                <w:sz w:val="16"/>
                <w:szCs w:val="16"/>
                <w:lang w:eastAsia="en-GB"/>
              </w:rPr>
            </w:pPr>
            <w:r w:rsidRPr="00A55933">
              <w:rPr>
                <w:rFonts w:eastAsia="Times New Roman" w:cs="Calibri"/>
                <w:b/>
                <w:bCs/>
                <w:color w:val="auto"/>
                <w:sz w:val="16"/>
                <w:szCs w:val="16"/>
                <w:lang w:eastAsia="en-GB"/>
              </w:rPr>
              <w:t>Core workforce capacity estimate</w:t>
            </w:r>
          </w:p>
        </w:tc>
      </w:tr>
      <w:tr w:rsidR="00A55933" w:rsidRPr="00A55933" w14:paraId="3563A0D6" w14:textId="1136DDF3" w:rsidTr="00A55933">
        <w:trPr>
          <w:trHeight w:val="852"/>
          <w:tblHeader/>
          <w:jc w:val="center"/>
        </w:trPr>
        <w:tc>
          <w:tcPr>
            <w:tcW w:w="1989" w:type="pct"/>
            <w:vMerge/>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2C8A2D38" w14:textId="77777777" w:rsidR="00A55933" w:rsidRPr="00A55933" w:rsidRDefault="00A55933" w:rsidP="00A55933">
            <w:pPr>
              <w:spacing w:after="0"/>
              <w:rPr>
                <w:rFonts w:eastAsia="Times New Roman" w:cs="Calibri"/>
                <w:b/>
                <w:bCs/>
                <w:color w:val="auto"/>
                <w:sz w:val="16"/>
                <w:szCs w:val="16"/>
                <w:lang w:eastAsia="en-GB"/>
              </w:rPr>
            </w:pPr>
          </w:p>
        </w:tc>
        <w:tc>
          <w:tcPr>
            <w:tcW w:w="622" w:type="pct"/>
            <w:vMerge/>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4BF593E3" w14:textId="77777777" w:rsidR="00A55933" w:rsidRPr="00A55933" w:rsidRDefault="00A55933" w:rsidP="00A55933">
            <w:pPr>
              <w:spacing w:after="0"/>
              <w:rPr>
                <w:rFonts w:eastAsia="Times New Roman" w:cs="Calibri"/>
                <w:b/>
                <w:bCs/>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27373D70" w14:textId="5AA827E4" w:rsidR="00A55933" w:rsidRPr="00A55933" w:rsidRDefault="00A55933" w:rsidP="00A55933">
            <w:pPr>
              <w:spacing w:after="0"/>
              <w:jc w:val="center"/>
              <w:rPr>
                <w:rFonts w:eastAsia="Times New Roman" w:cs="Calibri"/>
                <w:b/>
                <w:bCs/>
                <w:color w:val="auto"/>
                <w:sz w:val="16"/>
                <w:szCs w:val="16"/>
                <w:lang w:eastAsia="en-GB"/>
              </w:rPr>
            </w:pPr>
            <w:r w:rsidRPr="00A55933">
              <w:rPr>
                <w:rFonts w:eastAsia="Times New Roman" w:cs="Calibri"/>
                <w:b/>
                <w:bCs/>
                <w:color w:val="auto"/>
                <w:sz w:val="16"/>
                <w:szCs w:val="16"/>
                <w:lang w:eastAsia="en-GB"/>
              </w:rPr>
              <w:t>Wales</w:t>
            </w:r>
          </w:p>
        </w:tc>
        <w:tc>
          <w:tcPr>
            <w:tcW w:w="478"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0D3CC097" w14:textId="49EAAB51" w:rsidR="00A55933" w:rsidRPr="00A55933" w:rsidRDefault="00A55933" w:rsidP="00A55933">
            <w:pPr>
              <w:spacing w:after="0"/>
              <w:jc w:val="center"/>
              <w:rPr>
                <w:rFonts w:eastAsia="Times New Roman" w:cs="Calibri"/>
                <w:b/>
                <w:bCs/>
                <w:color w:val="auto"/>
                <w:sz w:val="16"/>
                <w:szCs w:val="16"/>
                <w:lang w:eastAsia="en-GB"/>
              </w:rPr>
            </w:pPr>
            <w:r w:rsidRPr="00A55933">
              <w:rPr>
                <w:rFonts w:eastAsia="Times New Roman" w:cs="Calibri"/>
                <w:b/>
                <w:bCs/>
                <w:color w:val="auto"/>
                <w:sz w:val="16"/>
                <w:szCs w:val="16"/>
                <w:lang w:eastAsia="en-GB"/>
              </w:rPr>
              <w:t>South East Wales</w:t>
            </w:r>
          </w:p>
        </w:tc>
        <w:tc>
          <w:tcPr>
            <w:tcW w:w="478"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6EB51E98" w14:textId="593026AA" w:rsidR="00A55933" w:rsidRPr="00A55933" w:rsidRDefault="00A55933" w:rsidP="00A55933">
            <w:pPr>
              <w:spacing w:after="0"/>
              <w:jc w:val="center"/>
              <w:rPr>
                <w:rFonts w:eastAsia="Times New Roman" w:cs="Calibri"/>
                <w:b/>
                <w:bCs/>
                <w:color w:val="auto"/>
                <w:sz w:val="16"/>
                <w:szCs w:val="16"/>
                <w:lang w:eastAsia="en-GB"/>
              </w:rPr>
            </w:pPr>
            <w:r w:rsidRPr="00A55933">
              <w:rPr>
                <w:rFonts w:eastAsia="Times New Roman" w:cs="Calibri"/>
                <w:b/>
                <w:bCs/>
                <w:color w:val="auto"/>
                <w:sz w:val="16"/>
                <w:szCs w:val="16"/>
                <w:lang w:eastAsia="en-GB"/>
              </w:rPr>
              <w:t>South West Wales</w:t>
            </w:r>
          </w:p>
        </w:tc>
        <w:tc>
          <w:tcPr>
            <w:tcW w:w="478"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593A58FA" w14:textId="029F18A6" w:rsidR="00A55933" w:rsidRPr="00A55933" w:rsidRDefault="00A55933" w:rsidP="00A55933">
            <w:pPr>
              <w:spacing w:after="0"/>
              <w:jc w:val="center"/>
              <w:rPr>
                <w:rFonts w:eastAsia="Times New Roman" w:cs="Calibri"/>
                <w:b/>
                <w:bCs/>
                <w:color w:val="auto"/>
                <w:sz w:val="16"/>
                <w:szCs w:val="16"/>
                <w:lang w:eastAsia="en-GB"/>
              </w:rPr>
            </w:pPr>
            <w:r w:rsidRPr="00A55933">
              <w:rPr>
                <w:rFonts w:eastAsia="Times New Roman" w:cs="Calibri"/>
                <w:b/>
                <w:bCs/>
                <w:color w:val="auto"/>
                <w:sz w:val="16"/>
                <w:szCs w:val="16"/>
                <w:lang w:eastAsia="en-GB"/>
              </w:rPr>
              <w:t>Mid Wales</w:t>
            </w:r>
          </w:p>
        </w:tc>
        <w:tc>
          <w:tcPr>
            <w:tcW w:w="478"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00ED7D76" w14:textId="682EB482" w:rsidR="00A55933" w:rsidRPr="00A55933" w:rsidRDefault="00A55933" w:rsidP="00A55933">
            <w:pPr>
              <w:spacing w:after="0"/>
              <w:jc w:val="center"/>
              <w:rPr>
                <w:rFonts w:eastAsia="Times New Roman" w:cs="Calibri"/>
                <w:b/>
                <w:bCs/>
                <w:color w:val="auto"/>
                <w:sz w:val="16"/>
                <w:szCs w:val="16"/>
                <w:lang w:eastAsia="en-GB"/>
              </w:rPr>
            </w:pPr>
            <w:r w:rsidRPr="00A55933">
              <w:rPr>
                <w:rFonts w:eastAsia="Times New Roman" w:cs="Calibri"/>
                <w:b/>
                <w:bCs/>
                <w:color w:val="auto"/>
                <w:sz w:val="16"/>
                <w:szCs w:val="16"/>
                <w:lang w:eastAsia="en-GB"/>
              </w:rPr>
              <w:t>North Wales</w:t>
            </w:r>
          </w:p>
        </w:tc>
      </w:tr>
      <w:tr w:rsidR="00A55933" w:rsidRPr="00A55933" w14:paraId="79A14AA3" w14:textId="31F2C49A"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4A1DEFB5"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5241 Electricians and electrical fitters</w:t>
            </w:r>
          </w:p>
        </w:tc>
        <w:tc>
          <w:tcPr>
            <w:tcW w:w="622" w:type="pct"/>
            <w:vMerge w:val="restart"/>
            <w:tcBorders>
              <w:top w:val="single" w:sz="4" w:space="0" w:color="auto"/>
              <w:left w:val="single" w:sz="4" w:space="0" w:color="auto"/>
              <w:bottom w:val="single" w:sz="4" w:space="0" w:color="auto"/>
              <w:right w:val="single" w:sz="4" w:space="0" w:color="auto"/>
            </w:tcBorders>
            <w:shd w:val="clear" w:color="auto" w:fill="008C9B" w:themeFill="text2"/>
            <w:vAlign w:val="center"/>
            <w:hideMark/>
          </w:tcPr>
          <w:p w14:paraId="7981D4E8" w14:textId="77777777" w:rsidR="00A55933" w:rsidRPr="00A55933" w:rsidRDefault="00A55933" w:rsidP="00A55933">
            <w:pPr>
              <w:spacing w:after="0"/>
              <w:jc w:val="center"/>
              <w:rPr>
                <w:rFonts w:eastAsia="Times New Roman" w:cs="Arial"/>
                <w:b/>
                <w:bCs/>
                <w:color w:val="auto"/>
                <w:sz w:val="16"/>
                <w:szCs w:val="16"/>
                <w:lang w:eastAsia="en-GB"/>
              </w:rPr>
            </w:pPr>
            <w:r w:rsidRPr="00A55933">
              <w:rPr>
                <w:rFonts w:eastAsia="Times New Roman" w:cs="Arial"/>
                <w:b/>
                <w:bCs/>
                <w:color w:val="FFFFFF" w:themeColor="background1"/>
                <w:sz w:val="16"/>
                <w:szCs w:val="16"/>
                <w:lang w:eastAsia="en-GB"/>
              </w:rPr>
              <w:t>Direct</w:t>
            </w:r>
          </w:p>
        </w:tc>
        <w:tc>
          <w:tcPr>
            <w:tcW w:w="478"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4D1C68A" w14:textId="732AC8BB"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3,691</w:t>
            </w:r>
          </w:p>
        </w:tc>
        <w:tc>
          <w:tcPr>
            <w:tcW w:w="478" w:type="pct"/>
            <w:tcBorders>
              <w:top w:val="single" w:sz="8" w:space="0" w:color="auto"/>
              <w:left w:val="single" w:sz="8" w:space="0" w:color="auto"/>
              <w:bottom w:val="single" w:sz="8" w:space="0" w:color="auto"/>
              <w:right w:val="single" w:sz="8" w:space="0" w:color="auto"/>
            </w:tcBorders>
            <w:shd w:val="clear" w:color="000000" w:fill="D0CECE"/>
            <w:vAlign w:val="center"/>
            <w:hideMark/>
          </w:tcPr>
          <w:p w14:paraId="7EBA5227" w14:textId="3E297626"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1,925</w:t>
            </w:r>
          </w:p>
        </w:tc>
        <w:tc>
          <w:tcPr>
            <w:tcW w:w="478" w:type="pct"/>
            <w:tcBorders>
              <w:top w:val="single" w:sz="8" w:space="0" w:color="auto"/>
              <w:left w:val="nil"/>
              <w:bottom w:val="single" w:sz="8" w:space="0" w:color="auto"/>
              <w:right w:val="single" w:sz="8" w:space="0" w:color="auto"/>
            </w:tcBorders>
            <w:shd w:val="clear" w:color="000000" w:fill="D0CECE"/>
            <w:vAlign w:val="center"/>
            <w:hideMark/>
          </w:tcPr>
          <w:p w14:paraId="4CEEA0F2" w14:textId="0BCAF6B0"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414</w:t>
            </w:r>
          </w:p>
        </w:tc>
        <w:tc>
          <w:tcPr>
            <w:tcW w:w="478" w:type="pct"/>
            <w:tcBorders>
              <w:top w:val="single" w:sz="8" w:space="0" w:color="auto"/>
              <w:left w:val="nil"/>
              <w:bottom w:val="single" w:sz="8" w:space="0" w:color="auto"/>
              <w:right w:val="single" w:sz="8" w:space="0" w:color="auto"/>
            </w:tcBorders>
            <w:shd w:val="clear" w:color="000000" w:fill="D0CECE"/>
            <w:vAlign w:val="center"/>
          </w:tcPr>
          <w:p w14:paraId="3DE92F02" w14:textId="6958FE55"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186</w:t>
            </w:r>
          </w:p>
        </w:tc>
        <w:tc>
          <w:tcPr>
            <w:tcW w:w="478" w:type="pct"/>
            <w:tcBorders>
              <w:top w:val="single" w:sz="8" w:space="0" w:color="auto"/>
              <w:left w:val="nil"/>
              <w:bottom w:val="single" w:sz="8" w:space="0" w:color="auto"/>
              <w:right w:val="single" w:sz="8" w:space="0" w:color="auto"/>
            </w:tcBorders>
            <w:shd w:val="clear" w:color="000000" w:fill="D0CECE"/>
            <w:vAlign w:val="center"/>
          </w:tcPr>
          <w:p w14:paraId="496D0C48" w14:textId="57A67721"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1,166</w:t>
            </w:r>
          </w:p>
        </w:tc>
      </w:tr>
      <w:tr w:rsidR="00A55933" w:rsidRPr="00A55933" w14:paraId="2F36A966" w14:textId="777CFE4E"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3BB9508B"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5314 Roofers, roof tilers and slaters</w:t>
            </w:r>
          </w:p>
        </w:tc>
        <w:tc>
          <w:tcPr>
            <w:tcW w:w="622" w:type="pct"/>
            <w:vMerge/>
            <w:tcBorders>
              <w:top w:val="single" w:sz="4" w:space="0" w:color="auto"/>
              <w:left w:val="single" w:sz="4" w:space="0" w:color="auto"/>
              <w:bottom w:val="single" w:sz="4" w:space="0" w:color="auto"/>
              <w:right w:val="single" w:sz="4" w:space="0" w:color="auto"/>
            </w:tcBorders>
            <w:shd w:val="clear" w:color="auto" w:fill="008C9B" w:themeFill="text2"/>
            <w:vAlign w:val="center"/>
            <w:hideMark/>
          </w:tcPr>
          <w:p w14:paraId="4F53ABC1"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57F0DAFC" w14:textId="77777777"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263</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4E0DE783" w14:textId="64528C14"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146</w:t>
            </w:r>
          </w:p>
        </w:tc>
        <w:tc>
          <w:tcPr>
            <w:tcW w:w="478" w:type="pct"/>
            <w:tcBorders>
              <w:top w:val="nil"/>
              <w:left w:val="nil"/>
              <w:bottom w:val="single" w:sz="8" w:space="0" w:color="auto"/>
              <w:right w:val="single" w:sz="8" w:space="0" w:color="auto"/>
            </w:tcBorders>
            <w:shd w:val="clear" w:color="000000" w:fill="D0CECE"/>
            <w:vAlign w:val="center"/>
            <w:hideMark/>
          </w:tcPr>
          <w:p w14:paraId="067770FF" w14:textId="75B00D68"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31</w:t>
            </w:r>
          </w:p>
        </w:tc>
        <w:tc>
          <w:tcPr>
            <w:tcW w:w="478" w:type="pct"/>
            <w:tcBorders>
              <w:top w:val="nil"/>
              <w:left w:val="nil"/>
              <w:bottom w:val="single" w:sz="8" w:space="0" w:color="auto"/>
              <w:right w:val="single" w:sz="8" w:space="0" w:color="auto"/>
            </w:tcBorders>
            <w:vAlign w:val="center"/>
          </w:tcPr>
          <w:p w14:paraId="3508FBDC" w14:textId="7DFF47A3"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28</w:t>
            </w:r>
          </w:p>
        </w:tc>
        <w:tc>
          <w:tcPr>
            <w:tcW w:w="478" w:type="pct"/>
            <w:tcBorders>
              <w:top w:val="nil"/>
              <w:left w:val="nil"/>
              <w:bottom w:val="single" w:sz="8" w:space="0" w:color="auto"/>
              <w:right w:val="single" w:sz="8" w:space="0" w:color="auto"/>
            </w:tcBorders>
            <w:shd w:val="clear" w:color="000000" w:fill="D0CECE"/>
            <w:vAlign w:val="center"/>
          </w:tcPr>
          <w:p w14:paraId="1134FE42" w14:textId="456C37F8"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58</w:t>
            </w:r>
          </w:p>
        </w:tc>
      </w:tr>
      <w:tr w:rsidR="00A55933" w:rsidRPr="00A55933" w14:paraId="66FCA488" w14:textId="390AF0A2"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5F0D81D3"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5315 Plumbers &amp; heating and ventilating installers and repairers</w:t>
            </w:r>
          </w:p>
        </w:tc>
        <w:tc>
          <w:tcPr>
            <w:tcW w:w="622" w:type="pct"/>
            <w:vMerge/>
            <w:tcBorders>
              <w:top w:val="single" w:sz="4" w:space="0" w:color="auto"/>
              <w:left w:val="single" w:sz="4" w:space="0" w:color="auto"/>
              <w:bottom w:val="single" w:sz="4" w:space="0" w:color="auto"/>
              <w:right w:val="single" w:sz="4" w:space="0" w:color="auto"/>
            </w:tcBorders>
            <w:shd w:val="clear" w:color="auto" w:fill="008C9B" w:themeFill="text2"/>
            <w:vAlign w:val="center"/>
            <w:hideMark/>
          </w:tcPr>
          <w:p w14:paraId="243A5857"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6D5BCF87" w14:textId="4A3BE51D"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6,835</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76356AA5" w14:textId="28351956"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3,794</w:t>
            </w:r>
          </w:p>
        </w:tc>
        <w:tc>
          <w:tcPr>
            <w:tcW w:w="478" w:type="pct"/>
            <w:tcBorders>
              <w:top w:val="nil"/>
              <w:left w:val="nil"/>
              <w:bottom w:val="single" w:sz="8" w:space="0" w:color="auto"/>
              <w:right w:val="single" w:sz="8" w:space="0" w:color="auto"/>
            </w:tcBorders>
            <w:shd w:val="clear" w:color="000000" w:fill="D0CECE"/>
            <w:vAlign w:val="center"/>
            <w:hideMark/>
          </w:tcPr>
          <w:p w14:paraId="7A493ED7" w14:textId="7EC8AF0A"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796</w:t>
            </w:r>
          </w:p>
        </w:tc>
        <w:tc>
          <w:tcPr>
            <w:tcW w:w="478" w:type="pct"/>
            <w:tcBorders>
              <w:top w:val="nil"/>
              <w:left w:val="nil"/>
              <w:bottom w:val="single" w:sz="8" w:space="0" w:color="auto"/>
              <w:right w:val="single" w:sz="8" w:space="0" w:color="auto"/>
            </w:tcBorders>
            <w:vAlign w:val="center"/>
          </w:tcPr>
          <w:p w14:paraId="523F69DD" w14:textId="73F009FE"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739</w:t>
            </w:r>
          </w:p>
        </w:tc>
        <w:tc>
          <w:tcPr>
            <w:tcW w:w="478" w:type="pct"/>
            <w:tcBorders>
              <w:top w:val="nil"/>
              <w:left w:val="nil"/>
              <w:bottom w:val="single" w:sz="8" w:space="0" w:color="auto"/>
              <w:right w:val="single" w:sz="8" w:space="0" w:color="auto"/>
            </w:tcBorders>
            <w:shd w:val="clear" w:color="000000" w:fill="D0CECE"/>
            <w:vAlign w:val="center"/>
          </w:tcPr>
          <w:p w14:paraId="73BE5BB4" w14:textId="1819C4BF"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1,506</w:t>
            </w:r>
          </w:p>
        </w:tc>
      </w:tr>
      <w:tr w:rsidR="00A55933" w:rsidRPr="00A55933" w14:paraId="4CB0DBBC" w14:textId="68D0F4F6"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540DAF0"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5317 Glaziers, window fabricators and fitters</w:t>
            </w:r>
          </w:p>
        </w:tc>
        <w:tc>
          <w:tcPr>
            <w:tcW w:w="622" w:type="pct"/>
            <w:vMerge/>
            <w:tcBorders>
              <w:top w:val="single" w:sz="4" w:space="0" w:color="auto"/>
              <w:left w:val="single" w:sz="4" w:space="0" w:color="auto"/>
              <w:bottom w:val="single" w:sz="4" w:space="0" w:color="auto"/>
              <w:right w:val="single" w:sz="4" w:space="0" w:color="auto"/>
            </w:tcBorders>
            <w:shd w:val="clear" w:color="auto" w:fill="008C9B" w:themeFill="text2"/>
            <w:vAlign w:val="center"/>
            <w:hideMark/>
          </w:tcPr>
          <w:p w14:paraId="241BE163"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5CA24F48" w14:textId="77777777"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701</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59C85F76" w14:textId="20131B9E"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389</w:t>
            </w:r>
          </w:p>
        </w:tc>
        <w:tc>
          <w:tcPr>
            <w:tcW w:w="478" w:type="pct"/>
            <w:tcBorders>
              <w:top w:val="nil"/>
              <w:left w:val="nil"/>
              <w:bottom w:val="single" w:sz="8" w:space="0" w:color="auto"/>
              <w:right w:val="single" w:sz="8" w:space="0" w:color="auto"/>
            </w:tcBorders>
            <w:shd w:val="clear" w:color="000000" w:fill="D0CECE"/>
            <w:vAlign w:val="center"/>
            <w:hideMark/>
          </w:tcPr>
          <w:p w14:paraId="770317B1" w14:textId="4EB0F4BC"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82</w:t>
            </w:r>
          </w:p>
        </w:tc>
        <w:tc>
          <w:tcPr>
            <w:tcW w:w="478" w:type="pct"/>
            <w:tcBorders>
              <w:top w:val="nil"/>
              <w:left w:val="nil"/>
              <w:bottom w:val="single" w:sz="8" w:space="0" w:color="auto"/>
              <w:right w:val="single" w:sz="8" w:space="0" w:color="auto"/>
            </w:tcBorders>
            <w:vAlign w:val="center"/>
          </w:tcPr>
          <w:p w14:paraId="0B7B286D" w14:textId="75A9BF7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76</w:t>
            </w:r>
          </w:p>
        </w:tc>
        <w:tc>
          <w:tcPr>
            <w:tcW w:w="478" w:type="pct"/>
            <w:tcBorders>
              <w:top w:val="nil"/>
              <w:left w:val="nil"/>
              <w:bottom w:val="single" w:sz="8" w:space="0" w:color="auto"/>
              <w:right w:val="single" w:sz="8" w:space="0" w:color="auto"/>
            </w:tcBorders>
            <w:shd w:val="clear" w:color="000000" w:fill="D0CECE"/>
            <w:vAlign w:val="center"/>
          </w:tcPr>
          <w:p w14:paraId="335262DA" w14:textId="0C240D88"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154</w:t>
            </w:r>
          </w:p>
        </w:tc>
      </w:tr>
      <w:tr w:rsidR="00A55933" w:rsidRPr="00A55933" w14:paraId="5FE597D6" w14:textId="7AA704BB"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37EA8DA5"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5319 Construction and building trades n.e.c.</w:t>
            </w:r>
          </w:p>
        </w:tc>
        <w:tc>
          <w:tcPr>
            <w:tcW w:w="622" w:type="pct"/>
            <w:vMerge/>
            <w:tcBorders>
              <w:top w:val="single" w:sz="4" w:space="0" w:color="auto"/>
              <w:left w:val="single" w:sz="4" w:space="0" w:color="auto"/>
              <w:bottom w:val="single" w:sz="4" w:space="0" w:color="auto"/>
              <w:right w:val="single" w:sz="4" w:space="0" w:color="auto"/>
            </w:tcBorders>
            <w:shd w:val="clear" w:color="auto" w:fill="008C9B" w:themeFill="text2"/>
            <w:vAlign w:val="center"/>
            <w:hideMark/>
          </w:tcPr>
          <w:p w14:paraId="3C48BE52"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4DBA1F4A" w14:textId="77777777"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420</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784F2901" w14:textId="3A3A0FF2"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233</w:t>
            </w:r>
          </w:p>
        </w:tc>
        <w:tc>
          <w:tcPr>
            <w:tcW w:w="478" w:type="pct"/>
            <w:tcBorders>
              <w:top w:val="nil"/>
              <w:left w:val="nil"/>
              <w:bottom w:val="single" w:sz="8" w:space="0" w:color="auto"/>
              <w:right w:val="single" w:sz="8" w:space="0" w:color="auto"/>
            </w:tcBorders>
            <w:shd w:val="clear" w:color="000000" w:fill="D0CECE"/>
            <w:vAlign w:val="center"/>
            <w:hideMark/>
          </w:tcPr>
          <w:p w14:paraId="0FE50460" w14:textId="084EF7F3"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49</w:t>
            </w:r>
          </w:p>
        </w:tc>
        <w:tc>
          <w:tcPr>
            <w:tcW w:w="478" w:type="pct"/>
            <w:tcBorders>
              <w:top w:val="nil"/>
              <w:left w:val="nil"/>
              <w:bottom w:val="single" w:sz="8" w:space="0" w:color="auto"/>
              <w:right w:val="single" w:sz="8" w:space="0" w:color="auto"/>
            </w:tcBorders>
            <w:vAlign w:val="center"/>
          </w:tcPr>
          <w:p w14:paraId="0D2C2C11" w14:textId="588AD90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45</w:t>
            </w:r>
          </w:p>
        </w:tc>
        <w:tc>
          <w:tcPr>
            <w:tcW w:w="478" w:type="pct"/>
            <w:tcBorders>
              <w:top w:val="nil"/>
              <w:left w:val="nil"/>
              <w:bottom w:val="single" w:sz="8" w:space="0" w:color="auto"/>
              <w:right w:val="single" w:sz="8" w:space="0" w:color="auto"/>
            </w:tcBorders>
            <w:shd w:val="clear" w:color="000000" w:fill="D0CECE"/>
            <w:vAlign w:val="center"/>
          </w:tcPr>
          <w:p w14:paraId="746D7B55" w14:textId="61B5B544"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93</w:t>
            </w:r>
          </w:p>
        </w:tc>
      </w:tr>
      <w:tr w:rsidR="00A55933" w:rsidRPr="00A55933" w14:paraId="2CFFC6D7" w14:textId="27216065"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5FED918"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5313 Bricklayers</w:t>
            </w:r>
          </w:p>
        </w:tc>
        <w:tc>
          <w:tcPr>
            <w:tcW w:w="622" w:type="pct"/>
            <w:vMerge w:val="restart"/>
            <w:tcBorders>
              <w:top w:val="single" w:sz="4" w:space="0" w:color="auto"/>
              <w:left w:val="single" w:sz="4" w:space="0" w:color="auto"/>
              <w:bottom w:val="single" w:sz="4" w:space="0" w:color="auto"/>
              <w:right w:val="single" w:sz="4" w:space="0" w:color="auto"/>
            </w:tcBorders>
            <w:shd w:val="clear" w:color="auto" w:fill="2AEAFF" w:themeFill="text2" w:themeFillTint="99"/>
            <w:vAlign w:val="center"/>
            <w:hideMark/>
          </w:tcPr>
          <w:p w14:paraId="1CDB13DC" w14:textId="77777777" w:rsidR="00A55933" w:rsidRPr="00A55933" w:rsidRDefault="00A55933" w:rsidP="00A55933">
            <w:pPr>
              <w:spacing w:after="0"/>
              <w:jc w:val="center"/>
              <w:rPr>
                <w:rFonts w:eastAsia="Times New Roman" w:cs="Arial"/>
                <w:b/>
                <w:bCs/>
                <w:color w:val="auto"/>
                <w:sz w:val="16"/>
                <w:szCs w:val="16"/>
                <w:lang w:eastAsia="en-GB"/>
              </w:rPr>
            </w:pPr>
            <w:r w:rsidRPr="00A55933">
              <w:rPr>
                <w:rFonts w:eastAsia="Times New Roman" w:cs="Arial"/>
                <w:b/>
                <w:bCs/>
                <w:color w:val="auto"/>
                <w:sz w:val="16"/>
                <w:szCs w:val="16"/>
                <w:lang w:eastAsia="en-GB"/>
              </w:rPr>
              <w:t>Support</w:t>
            </w: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1B95A3DC" w14:textId="77777777"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326</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56BBE698" w14:textId="4A7E802E"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181</w:t>
            </w:r>
          </w:p>
        </w:tc>
        <w:tc>
          <w:tcPr>
            <w:tcW w:w="478" w:type="pct"/>
            <w:tcBorders>
              <w:top w:val="nil"/>
              <w:left w:val="nil"/>
              <w:bottom w:val="single" w:sz="8" w:space="0" w:color="auto"/>
              <w:right w:val="single" w:sz="8" w:space="0" w:color="auto"/>
            </w:tcBorders>
            <w:shd w:val="clear" w:color="000000" w:fill="D0CECE"/>
            <w:vAlign w:val="center"/>
            <w:hideMark/>
          </w:tcPr>
          <w:p w14:paraId="018A2D7D" w14:textId="42DB674E"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38</w:t>
            </w:r>
          </w:p>
        </w:tc>
        <w:tc>
          <w:tcPr>
            <w:tcW w:w="478" w:type="pct"/>
            <w:tcBorders>
              <w:top w:val="nil"/>
              <w:left w:val="nil"/>
              <w:bottom w:val="single" w:sz="8" w:space="0" w:color="auto"/>
              <w:right w:val="single" w:sz="8" w:space="0" w:color="auto"/>
            </w:tcBorders>
            <w:vAlign w:val="center"/>
          </w:tcPr>
          <w:p w14:paraId="7DA9CB04" w14:textId="761703DC"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35</w:t>
            </w:r>
          </w:p>
        </w:tc>
        <w:tc>
          <w:tcPr>
            <w:tcW w:w="478" w:type="pct"/>
            <w:tcBorders>
              <w:top w:val="nil"/>
              <w:left w:val="nil"/>
              <w:bottom w:val="single" w:sz="8" w:space="0" w:color="auto"/>
              <w:right w:val="single" w:sz="8" w:space="0" w:color="auto"/>
            </w:tcBorders>
            <w:shd w:val="clear" w:color="000000" w:fill="D0CECE"/>
            <w:vAlign w:val="center"/>
          </w:tcPr>
          <w:p w14:paraId="467BC78D" w14:textId="6BFBF7AB"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72</w:t>
            </w:r>
          </w:p>
        </w:tc>
      </w:tr>
      <w:tr w:rsidR="00A55933" w:rsidRPr="00A55933" w14:paraId="236616B3" w14:textId="15A3434B"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6B7BE2F2"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5316 Carpenters and joiners</w:t>
            </w:r>
          </w:p>
        </w:tc>
        <w:tc>
          <w:tcPr>
            <w:tcW w:w="622" w:type="pct"/>
            <w:vMerge/>
            <w:tcBorders>
              <w:top w:val="single" w:sz="4" w:space="0" w:color="auto"/>
              <w:left w:val="single" w:sz="4" w:space="0" w:color="auto"/>
              <w:bottom w:val="single" w:sz="4" w:space="0" w:color="auto"/>
              <w:right w:val="single" w:sz="4" w:space="0" w:color="auto"/>
            </w:tcBorders>
            <w:shd w:val="clear" w:color="auto" w:fill="2AEAFF" w:themeFill="text2" w:themeFillTint="99"/>
            <w:vAlign w:val="center"/>
            <w:hideMark/>
          </w:tcPr>
          <w:p w14:paraId="0ABE5624"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42FB5475" w14:textId="35276FD0"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3,895</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3EE3DAE1" w14:textId="2F9D9852"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2,162</w:t>
            </w:r>
          </w:p>
        </w:tc>
        <w:tc>
          <w:tcPr>
            <w:tcW w:w="478" w:type="pct"/>
            <w:tcBorders>
              <w:top w:val="nil"/>
              <w:left w:val="nil"/>
              <w:bottom w:val="single" w:sz="8" w:space="0" w:color="auto"/>
              <w:right w:val="single" w:sz="8" w:space="0" w:color="auto"/>
            </w:tcBorders>
            <w:shd w:val="clear" w:color="000000" w:fill="D0CECE"/>
            <w:vAlign w:val="center"/>
            <w:hideMark/>
          </w:tcPr>
          <w:p w14:paraId="4650C36D" w14:textId="016A3FA1"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453</w:t>
            </w:r>
          </w:p>
        </w:tc>
        <w:tc>
          <w:tcPr>
            <w:tcW w:w="478" w:type="pct"/>
            <w:tcBorders>
              <w:top w:val="nil"/>
              <w:left w:val="nil"/>
              <w:bottom w:val="single" w:sz="8" w:space="0" w:color="auto"/>
              <w:right w:val="single" w:sz="8" w:space="0" w:color="auto"/>
            </w:tcBorders>
            <w:vAlign w:val="center"/>
          </w:tcPr>
          <w:p w14:paraId="6AE85A36" w14:textId="6417A6DA"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421</w:t>
            </w:r>
          </w:p>
        </w:tc>
        <w:tc>
          <w:tcPr>
            <w:tcW w:w="478" w:type="pct"/>
            <w:tcBorders>
              <w:top w:val="nil"/>
              <w:left w:val="nil"/>
              <w:bottom w:val="single" w:sz="8" w:space="0" w:color="auto"/>
              <w:right w:val="single" w:sz="8" w:space="0" w:color="auto"/>
            </w:tcBorders>
            <w:shd w:val="clear" w:color="000000" w:fill="D0CECE"/>
            <w:vAlign w:val="center"/>
          </w:tcPr>
          <w:p w14:paraId="33594A45" w14:textId="7A68EF35"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858</w:t>
            </w:r>
          </w:p>
        </w:tc>
      </w:tr>
      <w:tr w:rsidR="00A55933" w:rsidRPr="00A55933" w14:paraId="6111F497" w14:textId="0383117C"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1E818C4C"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lastRenderedPageBreak/>
              <w:t>5321 Plasterers</w:t>
            </w:r>
          </w:p>
        </w:tc>
        <w:tc>
          <w:tcPr>
            <w:tcW w:w="622" w:type="pct"/>
            <w:vMerge/>
            <w:tcBorders>
              <w:top w:val="single" w:sz="4" w:space="0" w:color="auto"/>
              <w:left w:val="single" w:sz="4" w:space="0" w:color="auto"/>
              <w:bottom w:val="single" w:sz="4" w:space="0" w:color="auto"/>
              <w:right w:val="single" w:sz="4" w:space="0" w:color="auto"/>
            </w:tcBorders>
            <w:shd w:val="clear" w:color="auto" w:fill="2AEAFF" w:themeFill="text2" w:themeFillTint="99"/>
            <w:vAlign w:val="center"/>
            <w:hideMark/>
          </w:tcPr>
          <w:p w14:paraId="6AF00D15"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1632D7CA" w14:textId="2B7C81F2"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1,541</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378D2F48" w14:textId="6FCA371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855</w:t>
            </w:r>
          </w:p>
        </w:tc>
        <w:tc>
          <w:tcPr>
            <w:tcW w:w="478" w:type="pct"/>
            <w:tcBorders>
              <w:top w:val="nil"/>
              <w:left w:val="nil"/>
              <w:bottom w:val="single" w:sz="8" w:space="0" w:color="auto"/>
              <w:right w:val="single" w:sz="8" w:space="0" w:color="auto"/>
            </w:tcBorders>
            <w:shd w:val="clear" w:color="000000" w:fill="D0CECE"/>
            <w:vAlign w:val="center"/>
            <w:hideMark/>
          </w:tcPr>
          <w:p w14:paraId="3E5BC143" w14:textId="1D8FE3DB"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179</w:t>
            </w:r>
          </w:p>
        </w:tc>
        <w:tc>
          <w:tcPr>
            <w:tcW w:w="478" w:type="pct"/>
            <w:tcBorders>
              <w:top w:val="nil"/>
              <w:left w:val="nil"/>
              <w:bottom w:val="single" w:sz="8" w:space="0" w:color="auto"/>
              <w:right w:val="single" w:sz="8" w:space="0" w:color="auto"/>
            </w:tcBorders>
            <w:vAlign w:val="center"/>
          </w:tcPr>
          <w:p w14:paraId="31DBA929" w14:textId="3424FC8F"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167</w:t>
            </w:r>
          </w:p>
        </w:tc>
        <w:tc>
          <w:tcPr>
            <w:tcW w:w="478" w:type="pct"/>
            <w:tcBorders>
              <w:top w:val="nil"/>
              <w:left w:val="nil"/>
              <w:bottom w:val="single" w:sz="8" w:space="0" w:color="auto"/>
              <w:right w:val="single" w:sz="8" w:space="0" w:color="auto"/>
            </w:tcBorders>
            <w:shd w:val="clear" w:color="000000" w:fill="D0CECE"/>
            <w:vAlign w:val="center"/>
          </w:tcPr>
          <w:p w14:paraId="56428269" w14:textId="09F9D60A"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340</w:t>
            </w:r>
          </w:p>
        </w:tc>
      </w:tr>
      <w:tr w:rsidR="00A55933" w:rsidRPr="00A55933" w14:paraId="46D26BCA" w14:textId="5091D11B"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8E1291D"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5322 Floorers and wall tilers</w:t>
            </w:r>
          </w:p>
        </w:tc>
        <w:tc>
          <w:tcPr>
            <w:tcW w:w="622" w:type="pct"/>
            <w:vMerge/>
            <w:tcBorders>
              <w:top w:val="single" w:sz="4" w:space="0" w:color="auto"/>
              <w:left w:val="single" w:sz="4" w:space="0" w:color="auto"/>
              <w:bottom w:val="single" w:sz="4" w:space="0" w:color="auto"/>
              <w:right w:val="single" w:sz="4" w:space="0" w:color="auto"/>
            </w:tcBorders>
            <w:shd w:val="clear" w:color="auto" w:fill="2AEAFF" w:themeFill="text2" w:themeFillTint="99"/>
            <w:vAlign w:val="center"/>
            <w:hideMark/>
          </w:tcPr>
          <w:p w14:paraId="40F2F25C"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43488F6F" w14:textId="6291E16D"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2,318</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51B37143" w14:textId="4BE95FD3"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1,287</w:t>
            </w:r>
          </w:p>
        </w:tc>
        <w:tc>
          <w:tcPr>
            <w:tcW w:w="478" w:type="pct"/>
            <w:tcBorders>
              <w:top w:val="nil"/>
              <w:left w:val="nil"/>
              <w:bottom w:val="single" w:sz="8" w:space="0" w:color="auto"/>
              <w:right w:val="single" w:sz="8" w:space="0" w:color="auto"/>
            </w:tcBorders>
            <w:shd w:val="clear" w:color="000000" w:fill="D0CECE"/>
            <w:vAlign w:val="center"/>
            <w:hideMark/>
          </w:tcPr>
          <w:p w14:paraId="6C0CEC4E" w14:textId="5E99B9D4"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270</w:t>
            </w:r>
          </w:p>
        </w:tc>
        <w:tc>
          <w:tcPr>
            <w:tcW w:w="478" w:type="pct"/>
            <w:tcBorders>
              <w:top w:val="nil"/>
              <w:left w:val="nil"/>
              <w:bottom w:val="single" w:sz="8" w:space="0" w:color="auto"/>
              <w:right w:val="single" w:sz="8" w:space="0" w:color="auto"/>
            </w:tcBorders>
            <w:vAlign w:val="center"/>
          </w:tcPr>
          <w:p w14:paraId="2A423D82" w14:textId="4A7AF5F2"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251</w:t>
            </w:r>
          </w:p>
        </w:tc>
        <w:tc>
          <w:tcPr>
            <w:tcW w:w="478" w:type="pct"/>
            <w:tcBorders>
              <w:top w:val="nil"/>
              <w:left w:val="nil"/>
              <w:bottom w:val="single" w:sz="8" w:space="0" w:color="auto"/>
              <w:right w:val="single" w:sz="8" w:space="0" w:color="auto"/>
            </w:tcBorders>
            <w:shd w:val="clear" w:color="000000" w:fill="D0CECE"/>
            <w:vAlign w:val="center"/>
          </w:tcPr>
          <w:p w14:paraId="050FE648" w14:textId="6A3A2F63"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511</w:t>
            </w:r>
          </w:p>
        </w:tc>
      </w:tr>
      <w:tr w:rsidR="00A55933" w:rsidRPr="00A55933" w14:paraId="63D88315" w14:textId="4E021A18"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117DFD2D"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5323 Painters and decorators</w:t>
            </w:r>
          </w:p>
        </w:tc>
        <w:tc>
          <w:tcPr>
            <w:tcW w:w="622" w:type="pct"/>
            <w:vMerge/>
            <w:tcBorders>
              <w:top w:val="single" w:sz="4" w:space="0" w:color="auto"/>
              <w:left w:val="single" w:sz="4" w:space="0" w:color="auto"/>
              <w:bottom w:val="single" w:sz="4" w:space="0" w:color="auto"/>
              <w:right w:val="single" w:sz="4" w:space="0" w:color="auto"/>
            </w:tcBorders>
            <w:shd w:val="clear" w:color="auto" w:fill="2AEAFF" w:themeFill="text2" w:themeFillTint="99"/>
            <w:vAlign w:val="center"/>
            <w:hideMark/>
          </w:tcPr>
          <w:p w14:paraId="29666431"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581E7228" w14:textId="429A1C5D"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1,156</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230E57E0" w14:textId="7E3A0322"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642</w:t>
            </w:r>
          </w:p>
        </w:tc>
        <w:tc>
          <w:tcPr>
            <w:tcW w:w="478" w:type="pct"/>
            <w:tcBorders>
              <w:top w:val="nil"/>
              <w:left w:val="nil"/>
              <w:bottom w:val="single" w:sz="8" w:space="0" w:color="auto"/>
              <w:right w:val="single" w:sz="8" w:space="0" w:color="auto"/>
            </w:tcBorders>
            <w:shd w:val="clear" w:color="000000" w:fill="D0CECE"/>
            <w:vAlign w:val="center"/>
            <w:hideMark/>
          </w:tcPr>
          <w:p w14:paraId="784E0310" w14:textId="4C41D555"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135</w:t>
            </w:r>
          </w:p>
        </w:tc>
        <w:tc>
          <w:tcPr>
            <w:tcW w:w="478" w:type="pct"/>
            <w:tcBorders>
              <w:top w:val="nil"/>
              <w:left w:val="nil"/>
              <w:bottom w:val="single" w:sz="8" w:space="0" w:color="auto"/>
              <w:right w:val="single" w:sz="8" w:space="0" w:color="auto"/>
            </w:tcBorders>
            <w:vAlign w:val="center"/>
          </w:tcPr>
          <w:p w14:paraId="552A60E3" w14:textId="14A1EEA8"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125</w:t>
            </w:r>
          </w:p>
        </w:tc>
        <w:tc>
          <w:tcPr>
            <w:tcW w:w="478" w:type="pct"/>
            <w:tcBorders>
              <w:top w:val="nil"/>
              <w:left w:val="nil"/>
              <w:bottom w:val="single" w:sz="8" w:space="0" w:color="auto"/>
              <w:right w:val="single" w:sz="8" w:space="0" w:color="auto"/>
            </w:tcBorders>
            <w:shd w:val="clear" w:color="000000" w:fill="D0CECE"/>
            <w:vAlign w:val="center"/>
          </w:tcPr>
          <w:p w14:paraId="41AFDE90" w14:textId="234D4F2B"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255</w:t>
            </w:r>
          </w:p>
        </w:tc>
      </w:tr>
      <w:tr w:rsidR="00A55933" w:rsidRPr="00A55933" w14:paraId="662F4A25" w14:textId="12FA1DF8"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429A9A7"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9129 Elementary construction occupations n.e.c.</w:t>
            </w:r>
          </w:p>
        </w:tc>
        <w:tc>
          <w:tcPr>
            <w:tcW w:w="622" w:type="pct"/>
            <w:vMerge/>
            <w:tcBorders>
              <w:top w:val="single" w:sz="4" w:space="0" w:color="auto"/>
              <w:left w:val="single" w:sz="4" w:space="0" w:color="auto"/>
              <w:bottom w:val="single" w:sz="4" w:space="0" w:color="auto"/>
              <w:right w:val="single" w:sz="4" w:space="0" w:color="auto"/>
            </w:tcBorders>
            <w:shd w:val="clear" w:color="auto" w:fill="2AEAFF" w:themeFill="text2" w:themeFillTint="99"/>
            <w:vAlign w:val="center"/>
            <w:hideMark/>
          </w:tcPr>
          <w:p w14:paraId="4D5E2A28"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30842D1B" w14:textId="77777777"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630</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59C31FDA" w14:textId="0474E9AA"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215</w:t>
            </w:r>
          </w:p>
        </w:tc>
        <w:tc>
          <w:tcPr>
            <w:tcW w:w="478" w:type="pct"/>
            <w:tcBorders>
              <w:top w:val="nil"/>
              <w:left w:val="nil"/>
              <w:bottom w:val="single" w:sz="8" w:space="0" w:color="auto"/>
              <w:right w:val="single" w:sz="8" w:space="0" w:color="auto"/>
            </w:tcBorders>
            <w:shd w:val="clear" w:color="000000" w:fill="D0CECE"/>
            <w:vAlign w:val="center"/>
            <w:hideMark/>
          </w:tcPr>
          <w:p w14:paraId="2DA9CD22" w14:textId="47F3CAAB"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154</w:t>
            </w:r>
          </w:p>
        </w:tc>
        <w:tc>
          <w:tcPr>
            <w:tcW w:w="478" w:type="pct"/>
            <w:tcBorders>
              <w:top w:val="nil"/>
              <w:left w:val="nil"/>
              <w:bottom w:val="single" w:sz="8" w:space="0" w:color="auto"/>
              <w:right w:val="single" w:sz="8" w:space="0" w:color="auto"/>
            </w:tcBorders>
            <w:shd w:val="clear" w:color="000000" w:fill="D0CECE"/>
            <w:vAlign w:val="center"/>
          </w:tcPr>
          <w:p w14:paraId="3B321A3A" w14:textId="6EB2E686"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58</w:t>
            </w:r>
          </w:p>
        </w:tc>
        <w:tc>
          <w:tcPr>
            <w:tcW w:w="478" w:type="pct"/>
            <w:tcBorders>
              <w:top w:val="nil"/>
              <w:left w:val="nil"/>
              <w:bottom w:val="single" w:sz="8" w:space="0" w:color="auto"/>
              <w:right w:val="single" w:sz="8" w:space="0" w:color="auto"/>
            </w:tcBorders>
            <w:shd w:val="clear" w:color="000000" w:fill="D0CECE"/>
            <w:vAlign w:val="center"/>
          </w:tcPr>
          <w:p w14:paraId="205C7CE6" w14:textId="60428BC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204</w:t>
            </w:r>
          </w:p>
        </w:tc>
      </w:tr>
      <w:tr w:rsidR="00A55933" w:rsidRPr="00A55933" w14:paraId="63424BEA" w14:textId="17305A2D"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3F3C6181"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2121 Civil Engineers</w:t>
            </w:r>
          </w:p>
        </w:tc>
        <w:tc>
          <w:tcPr>
            <w:tcW w:w="622" w:type="pct"/>
            <w:vMerge w:val="restart"/>
            <w:tcBorders>
              <w:top w:val="single" w:sz="4" w:space="0" w:color="auto"/>
              <w:left w:val="single" w:sz="4" w:space="0" w:color="auto"/>
              <w:bottom w:val="single" w:sz="4" w:space="0" w:color="auto"/>
              <w:right w:val="single" w:sz="4" w:space="0" w:color="auto"/>
            </w:tcBorders>
            <w:shd w:val="clear" w:color="auto" w:fill="B8F8FF" w:themeFill="accent1" w:themeFillTint="33"/>
            <w:vAlign w:val="center"/>
            <w:hideMark/>
          </w:tcPr>
          <w:p w14:paraId="0A757991" w14:textId="77777777" w:rsidR="00A55933" w:rsidRPr="00A55933" w:rsidRDefault="00A55933" w:rsidP="00A55933">
            <w:pPr>
              <w:spacing w:after="0"/>
              <w:jc w:val="center"/>
              <w:rPr>
                <w:rFonts w:eastAsia="Times New Roman" w:cs="Arial"/>
                <w:b/>
                <w:bCs/>
                <w:color w:val="auto"/>
                <w:sz w:val="16"/>
                <w:szCs w:val="16"/>
                <w:lang w:eastAsia="en-GB"/>
              </w:rPr>
            </w:pPr>
            <w:r w:rsidRPr="00A55933">
              <w:rPr>
                <w:rFonts w:eastAsia="Times New Roman" w:cs="Arial"/>
                <w:b/>
                <w:bCs/>
                <w:color w:val="auto"/>
                <w:sz w:val="16"/>
                <w:szCs w:val="16"/>
                <w:lang w:eastAsia="en-GB"/>
              </w:rPr>
              <w:t>Supervisory</w:t>
            </w: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57C57223" w14:textId="77777777"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0</w:t>
            </w:r>
          </w:p>
        </w:tc>
        <w:tc>
          <w:tcPr>
            <w:tcW w:w="478" w:type="pct"/>
            <w:tcBorders>
              <w:top w:val="nil"/>
              <w:left w:val="single" w:sz="8" w:space="0" w:color="auto"/>
              <w:bottom w:val="single" w:sz="8" w:space="0" w:color="auto"/>
              <w:right w:val="single" w:sz="8" w:space="0" w:color="auto"/>
            </w:tcBorders>
            <w:shd w:val="clear" w:color="000000" w:fill="808080"/>
            <w:vAlign w:val="center"/>
            <w:hideMark/>
          </w:tcPr>
          <w:p w14:paraId="4CB886F9" w14:textId="6050C3D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0</w:t>
            </w:r>
          </w:p>
        </w:tc>
        <w:tc>
          <w:tcPr>
            <w:tcW w:w="478" w:type="pct"/>
            <w:tcBorders>
              <w:top w:val="nil"/>
              <w:left w:val="nil"/>
              <w:bottom w:val="single" w:sz="8" w:space="0" w:color="auto"/>
              <w:right w:val="single" w:sz="8" w:space="0" w:color="auto"/>
            </w:tcBorders>
            <w:shd w:val="clear" w:color="000000" w:fill="D0CECE"/>
            <w:vAlign w:val="center"/>
            <w:hideMark/>
          </w:tcPr>
          <w:p w14:paraId="5E1EEBA0" w14:textId="0D532981"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0</w:t>
            </w:r>
          </w:p>
        </w:tc>
        <w:tc>
          <w:tcPr>
            <w:tcW w:w="478" w:type="pct"/>
            <w:tcBorders>
              <w:top w:val="nil"/>
              <w:left w:val="nil"/>
              <w:bottom w:val="single" w:sz="8" w:space="0" w:color="auto"/>
              <w:right w:val="single" w:sz="8" w:space="0" w:color="auto"/>
            </w:tcBorders>
            <w:vAlign w:val="center"/>
          </w:tcPr>
          <w:p w14:paraId="01CDCAE8" w14:textId="4A6BE433"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0</w:t>
            </w:r>
          </w:p>
        </w:tc>
        <w:tc>
          <w:tcPr>
            <w:tcW w:w="478" w:type="pct"/>
            <w:tcBorders>
              <w:top w:val="nil"/>
              <w:left w:val="nil"/>
              <w:bottom w:val="single" w:sz="8" w:space="0" w:color="auto"/>
              <w:right w:val="single" w:sz="8" w:space="0" w:color="auto"/>
            </w:tcBorders>
            <w:shd w:val="clear" w:color="000000" w:fill="D0CECE"/>
            <w:vAlign w:val="center"/>
          </w:tcPr>
          <w:p w14:paraId="350022ED" w14:textId="281E440F"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0</w:t>
            </w:r>
          </w:p>
        </w:tc>
      </w:tr>
      <w:tr w:rsidR="00A55933" w:rsidRPr="00A55933" w14:paraId="53A5C301" w14:textId="6148A8E0"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1673457"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2123 Electrical engineers</w:t>
            </w:r>
          </w:p>
        </w:tc>
        <w:tc>
          <w:tcPr>
            <w:tcW w:w="622" w:type="pct"/>
            <w:vMerge/>
            <w:tcBorders>
              <w:top w:val="single" w:sz="4" w:space="0" w:color="auto"/>
              <w:left w:val="single" w:sz="4" w:space="0" w:color="auto"/>
              <w:bottom w:val="single" w:sz="4" w:space="0" w:color="auto"/>
              <w:right w:val="single" w:sz="4" w:space="0" w:color="auto"/>
            </w:tcBorders>
            <w:shd w:val="clear" w:color="auto" w:fill="B8F8FF" w:themeFill="accent1" w:themeFillTint="33"/>
            <w:vAlign w:val="center"/>
            <w:hideMark/>
          </w:tcPr>
          <w:p w14:paraId="6F4FA965"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5E2285F2" w14:textId="77777777"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459</w:t>
            </w:r>
          </w:p>
        </w:tc>
        <w:tc>
          <w:tcPr>
            <w:tcW w:w="478" w:type="pct"/>
            <w:tcBorders>
              <w:top w:val="nil"/>
              <w:left w:val="single" w:sz="8" w:space="0" w:color="auto"/>
              <w:bottom w:val="single" w:sz="8" w:space="0" w:color="auto"/>
              <w:right w:val="single" w:sz="8" w:space="0" w:color="auto"/>
            </w:tcBorders>
            <w:shd w:val="clear" w:color="000000" w:fill="808080"/>
            <w:vAlign w:val="center"/>
            <w:hideMark/>
          </w:tcPr>
          <w:p w14:paraId="6D797CD6" w14:textId="3C0B9D90"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247</w:t>
            </w:r>
          </w:p>
        </w:tc>
        <w:tc>
          <w:tcPr>
            <w:tcW w:w="478" w:type="pct"/>
            <w:tcBorders>
              <w:top w:val="nil"/>
              <w:left w:val="nil"/>
              <w:bottom w:val="single" w:sz="8" w:space="0" w:color="auto"/>
              <w:right w:val="single" w:sz="8" w:space="0" w:color="auto"/>
            </w:tcBorders>
            <w:shd w:val="clear" w:color="000000" w:fill="D0CECE"/>
            <w:vAlign w:val="center"/>
            <w:hideMark/>
          </w:tcPr>
          <w:p w14:paraId="68B71B78" w14:textId="6CF8AFF6"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49</w:t>
            </w:r>
          </w:p>
        </w:tc>
        <w:tc>
          <w:tcPr>
            <w:tcW w:w="478" w:type="pct"/>
            <w:tcBorders>
              <w:top w:val="nil"/>
              <w:left w:val="nil"/>
              <w:bottom w:val="single" w:sz="8" w:space="0" w:color="auto"/>
              <w:right w:val="single" w:sz="8" w:space="0" w:color="auto"/>
            </w:tcBorders>
            <w:vAlign w:val="center"/>
          </w:tcPr>
          <w:p w14:paraId="1690F01A" w14:textId="1B8352E7"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34</w:t>
            </w:r>
          </w:p>
        </w:tc>
        <w:tc>
          <w:tcPr>
            <w:tcW w:w="478" w:type="pct"/>
            <w:tcBorders>
              <w:top w:val="nil"/>
              <w:left w:val="nil"/>
              <w:bottom w:val="single" w:sz="8" w:space="0" w:color="auto"/>
              <w:right w:val="single" w:sz="8" w:space="0" w:color="auto"/>
            </w:tcBorders>
            <w:shd w:val="clear" w:color="000000" w:fill="D0CECE"/>
            <w:vAlign w:val="center"/>
          </w:tcPr>
          <w:p w14:paraId="3B837DDB" w14:textId="18101600"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129</w:t>
            </w:r>
          </w:p>
        </w:tc>
      </w:tr>
      <w:tr w:rsidR="00A55933" w:rsidRPr="00A55933" w14:paraId="7757861A" w14:textId="3E80044A"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1936D33C"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2127 Engineering project managers and project engineers</w:t>
            </w:r>
          </w:p>
        </w:tc>
        <w:tc>
          <w:tcPr>
            <w:tcW w:w="622" w:type="pct"/>
            <w:vMerge/>
            <w:tcBorders>
              <w:top w:val="single" w:sz="4" w:space="0" w:color="auto"/>
              <w:left w:val="single" w:sz="4" w:space="0" w:color="auto"/>
              <w:bottom w:val="single" w:sz="4" w:space="0" w:color="auto"/>
              <w:right w:val="single" w:sz="4" w:space="0" w:color="auto"/>
            </w:tcBorders>
            <w:shd w:val="clear" w:color="auto" w:fill="B8F8FF" w:themeFill="accent1" w:themeFillTint="33"/>
            <w:vAlign w:val="center"/>
            <w:hideMark/>
          </w:tcPr>
          <w:p w14:paraId="67525E6A"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5DFCFC7F" w14:textId="77777777"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718</w:t>
            </w:r>
          </w:p>
        </w:tc>
        <w:tc>
          <w:tcPr>
            <w:tcW w:w="478" w:type="pct"/>
            <w:tcBorders>
              <w:top w:val="nil"/>
              <w:left w:val="single" w:sz="8" w:space="0" w:color="auto"/>
              <w:bottom w:val="single" w:sz="8" w:space="0" w:color="auto"/>
              <w:right w:val="single" w:sz="8" w:space="0" w:color="auto"/>
            </w:tcBorders>
            <w:shd w:val="clear" w:color="000000" w:fill="808080"/>
            <w:vAlign w:val="center"/>
            <w:hideMark/>
          </w:tcPr>
          <w:p w14:paraId="4D6F74DE" w14:textId="0440D80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386</w:t>
            </w:r>
          </w:p>
        </w:tc>
        <w:tc>
          <w:tcPr>
            <w:tcW w:w="478" w:type="pct"/>
            <w:tcBorders>
              <w:top w:val="nil"/>
              <w:left w:val="nil"/>
              <w:bottom w:val="single" w:sz="8" w:space="0" w:color="auto"/>
              <w:right w:val="single" w:sz="8" w:space="0" w:color="auto"/>
            </w:tcBorders>
            <w:shd w:val="clear" w:color="000000" w:fill="D0CECE"/>
            <w:vAlign w:val="center"/>
            <w:hideMark/>
          </w:tcPr>
          <w:p w14:paraId="47E35598" w14:textId="7A63BC95"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76</w:t>
            </w:r>
          </w:p>
        </w:tc>
        <w:tc>
          <w:tcPr>
            <w:tcW w:w="478" w:type="pct"/>
            <w:tcBorders>
              <w:top w:val="nil"/>
              <w:left w:val="nil"/>
              <w:bottom w:val="single" w:sz="8" w:space="0" w:color="auto"/>
              <w:right w:val="single" w:sz="8" w:space="0" w:color="auto"/>
            </w:tcBorders>
            <w:vAlign w:val="center"/>
          </w:tcPr>
          <w:p w14:paraId="302872E2" w14:textId="5F46AC3E"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53</w:t>
            </w:r>
          </w:p>
        </w:tc>
        <w:tc>
          <w:tcPr>
            <w:tcW w:w="478" w:type="pct"/>
            <w:tcBorders>
              <w:top w:val="nil"/>
              <w:left w:val="nil"/>
              <w:bottom w:val="single" w:sz="8" w:space="0" w:color="auto"/>
              <w:right w:val="single" w:sz="8" w:space="0" w:color="auto"/>
            </w:tcBorders>
            <w:shd w:val="clear" w:color="000000" w:fill="D0CECE"/>
            <w:vAlign w:val="center"/>
          </w:tcPr>
          <w:p w14:paraId="50315A88" w14:textId="354ABA24"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202</w:t>
            </w:r>
          </w:p>
        </w:tc>
      </w:tr>
      <w:tr w:rsidR="00A55933" w:rsidRPr="00A55933" w14:paraId="6C82C440" w14:textId="106AF078"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73C08422"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2129 Engineering professionals n.e.c.</w:t>
            </w:r>
          </w:p>
        </w:tc>
        <w:tc>
          <w:tcPr>
            <w:tcW w:w="622" w:type="pct"/>
            <w:vMerge/>
            <w:tcBorders>
              <w:top w:val="single" w:sz="4" w:space="0" w:color="auto"/>
              <w:left w:val="single" w:sz="4" w:space="0" w:color="auto"/>
              <w:bottom w:val="single" w:sz="4" w:space="0" w:color="auto"/>
              <w:right w:val="single" w:sz="4" w:space="0" w:color="auto"/>
            </w:tcBorders>
            <w:shd w:val="clear" w:color="auto" w:fill="B8F8FF" w:themeFill="accent1" w:themeFillTint="33"/>
            <w:vAlign w:val="center"/>
            <w:hideMark/>
          </w:tcPr>
          <w:p w14:paraId="3B9A13BF"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20F468EB" w14:textId="77777777"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391</w:t>
            </w:r>
          </w:p>
        </w:tc>
        <w:tc>
          <w:tcPr>
            <w:tcW w:w="478" w:type="pct"/>
            <w:tcBorders>
              <w:top w:val="nil"/>
              <w:left w:val="single" w:sz="8" w:space="0" w:color="auto"/>
              <w:bottom w:val="single" w:sz="8" w:space="0" w:color="auto"/>
              <w:right w:val="single" w:sz="8" w:space="0" w:color="auto"/>
            </w:tcBorders>
            <w:shd w:val="clear" w:color="000000" w:fill="808080"/>
            <w:vAlign w:val="center"/>
            <w:hideMark/>
          </w:tcPr>
          <w:p w14:paraId="5B69D3BD" w14:textId="6AD26947"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210</w:t>
            </w:r>
          </w:p>
        </w:tc>
        <w:tc>
          <w:tcPr>
            <w:tcW w:w="478" w:type="pct"/>
            <w:tcBorders>
              <w:top w:val="nil"/>
              <w:left w:val="nil"/>
              <w:bottom w:val="single" w:sz="8" w:space="0" w:color="auto"/>
              <w:right w:val="single" w:sz="8" w:space="0" w:color="auto"/>
            </w:tcBorders>
            <w:shd w:val="clear" w:color="000000" w:fill="D0CECE"/>
            <w:vAlign w:val="center"/>
            <w:hideMark/>
          </w:tcPr>
          <w:p w14:paraId="05ECE7BC" w14:textId="03080C90"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42</w:t>
            </w:r>
          </w:p>
        </w:tc>
        <w:tc>
          <w:tcPr>
            <w:tcW w:w="478" w:type="pct"/>
            <w:tcBorders>
              <w:top w:val="nil"/>
              <w:left w:val="nil"/>
              <w:bottom w:val="single" w:sz="8" w:space="0" w:color="auto"/>
              <w:right w:val="single" w:sz="8" w:space="0" w:color="auto"/>
            </w:tcBorders>
            <w:vAlign w:val="center"/>
          </w:tcPr>
          <w:p w14:paraId="1FCF7F4F" w14:textId="66D69EEA"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29</w:t>
            </w:r>
          </w:p>
        </w:tc>
        <w:tc>
          <w:tcPr>
            <w:tcW w:w="478" w:type="pct"/>
            <w:tcBorders>
              <w:top w:val="nil"/>
              <w:left w:val="nil"/>
              <w:bottom w:val="single" w:sz="8" w:space="0" w:color="auto"/>
              <w:right w:val="single" w:sz="8" w:space="0" w:color="auto"/>
            </w:tcBorders>
            <w:shd w:val="clear" w:color="000000" w:fill="D0CECE"/>
            <w:vAlign w:val="center"/>
          </w:tcPr>
          <w:p w14:paraId="7197F5FF" w14:textId="529B7676"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110</w:t>
            </w:r>
          </w:p>
        </w:tc>
      </w:tr>
      <w:tr w:rsidR="00A55933" w:rsidRPr="00A55933" w14:paraId="601D4F75" w14:textId="6DC51FA2"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6FAFCADA"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2455 Construction project managers and related professionals</w:t>
            </w:r>
          </w:p>
        </w:tc>
        <w:tc>
          <w:tcPr>
            <w:tcW w:w="622" w:type="pct"/>
            <w:vMerge/>
            <w:tcBorders>
              <w:top w:val="single" w:sz="4" w:space="0" w:color="auto"/>
              <w:left w:val="single" w:sz="4" w:space="0" w:color="auto"/>
              <w:bottom w:val="single" w:sz="4" w:space="0" w:color="auto"/>
              <w:right w:val="single" w:sz="4" w:space="0" w:color="auto"/>
            </w:tcBorders>
            <w:shd w:val="clear" w:color="auto" w:fill="B8F8FF" w:themeFill="accent1" w:themeFillTint="33"/>
            <w:vAlign w:val="center"/>
            <w:hideMark/>
          </w:tcPr>
          <w:p w14:paraId="4605F3EC"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6D6B7FC5" w14:textId="77777777"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704</w:t>
            </w:r>
          </w:p>
        </w:tc>
        <w:tc>
          <w:tcPr>
            <w:tcW w:w="478" w:type="pct"/>
            <w:tcBorders>
              <w:top w:val="nil"/>
              <w:left w:val="single" w:sz="8" w:space="0" w:color="auto"/>
              <w:bottom w:val="single" w:sz="8" w:space="0" w:color="auto"/>
              <w:right w:val="single" w:sz="8" w:space="0" w:color="auto"/>
            </w:tcBorders>
            <w:shd w:val="clear" w:color="000000" w:fill="808080"/>
            <w:vAlign w:val="center"/>
            <w:hideMark/>
          </w:tcPr>
          <w:p w14:paraId="50119D01" w14:textId="2CE459AA"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348</w:t>
            </w:r>
          </w:p>
        </w:tc>
        <w:tc>
          <w:tcPr>
            <w:tcW w:w="478" w:type="pct"/>
            <w:tcBorders>
              <w:top w:val="nil"/>
              <w:left w:val="nil"/>
              <w:bottom w:val="single" w:sz="8" w:space="0" w:color="auto"/>
              <w:right w:val="single" w:sz="8" w:space="0" w:color="auto"/>
            </w:tcBorders>
            <w:vAlign w:val="center"/>
            <w:hideMark/>
          </w:tcPr>
          <w:p w14:paraId="4EC113B1" w14:textId="62332057"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79</w:t>
            </w:r>
          </w:p>
        </w:tc>
        <w:tc>
          <w:tcPr>
            <w:tcW w:w="478" w:type="pct"/>
            <w:tcBorders>
              <w:top w:val="nil"/>
              <w:left w:val="nil"/>
              <w:bottom w:val="single" w:sz="8" w:space="0" w:color="auto"/>
              <w:right w:val="single" w:sz="8" w:space="0" w:color="auto"/>
            </w:tcBorders>
            <w:vAlign w:val="center"/>
          </w:tcPr>
          <w:p w14:paraId="05916D38" w14:textId="5E6CA336"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58</w:t>
            </w:r>
          </w:p>
        </w:tc>
        <w:tc>
          <w:tcPr>
            <w:tcW w:w="478" w:type="pct"/>
            <w:tcBorders>
              <w:top w:val="nil"/>
              <w:left w:val="nil"/>
              <w:bottom w:val="single" w:sz="8" w:space="0" w:color="auto"/>
              <w:right w:val="single" w:sz="8" w:space="0" w:color="auto"/>
            </w:tcBorders>
            <w:vAlign w:val="center"/>
          </w:tcPr>
          <w:p w14:paraId="3E5B8E8D" w14:textId="08BE4741"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220</w:t>
            </w:r>
          </w:p>
        </w:tc>
      </w:tr>
      <w:tr w:rsidR="00A55933" w:rsidRPr="00A55933" w14:paraId="5FA20434" w14:textId="59788512" w:rsidTr="00A55933">
        <w:trPr>
          <w:trHeight w:val="1217"/>
          <w:jc w:val="center"/>
        </w:trPr>
        <w:tc>
          <w:tcPr>
            <w:tcW w:w="19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5F7E1365"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lastRenderedPageBreak/>
              <w:t>3114 Building and civil engineering technicians</w:t>
            </w:r>
          </w:p>
        </w:tc>
        <w:tc>
          <w:tcPr>
            <w:tcW w:w="622" w:type="pct"/>
            <w:vMerge/>
            <w:tcBorders>
              <w:top w:val="single" w:sz="4" w:space="0" w:color="auto"/>
              <w:left w:val="single" w:sz="4" w:space="0" w:color="auto"/>
              <w:bottom w:val="single" w:sz="4" w:space="0" w:color="auto"/>
              <w:right w:val="single" w:sz="4" w:space="0" w:color="auto"/>
            </w:tcBorders>
            <w:shd w:val="clear" w:color="auto" w:fill="B8F8FF" w:themeFill="accent1" w:themeFillTint="33"/>
            <w:vAlign w:val="center"/>
            <w:hideMark/>
          </w:tcPr>
          <w:p w14:paraId="02BAE602"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single" w:sz="4" w:space="0" w:color="auto"/>
              <w:bottom w:val="single" w:sz="4" w:space="0" w:color="auto"/>
              <w:right w:val="single" w:sz="4" w:space="0" w:color="auto"/>
            </w:tcBorders>
            <w:shd w:val="clear" w:color="000000" w:fill="D0CECE"/>
            <w:vAlign w:val="center"/>
            <w:hideMark/>
          </w:tcPr>
          <w:p w14:paraId="571685CF" w14:textId="77777777"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0</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1618410D" w14:textId="1A57B2C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0</w:t>
            </w:r>
          </w:p>
        </w:tc>
        <w:tc>
          <w:tcPr>
            <w:tcW w:w="478" w:type="pct"/>
            <w:tcBorders>
              <w:top w:val="nil"/>
              <w:left w:val="nil"/>
              <w:bottom w:val="single" w:sz="8" w:space="0" w:color="auto"/>
              <w:right w:val="single" w:sz="8" w:space="0" w:color="auto"/>
            </w:tcBorders>
            <w:shd w:val="clear" w:color="000000" w:fill="808080"/>
            <w:vAlign w:val="center"/>
            <w:hideMark/>
          </w:tcPr>
          <w:p w14:paraId="3B845AF4" w14:textId="2B342DE0"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0</w:t>
            </w:r>
          </w:p>
        </w:tc>
        <w:tc>
          <w:tcPr>
            <w:tcW w:w="478" w:type="pct"/>
            <w:tcBorders>
              <w:top w:val="nil"/>
              <w:left w:val="nil"/>
              <w:bottom w:val="single" w:sz="8" w:space="0" w:color="auto"/>
              <w:right w:val="single" w:sz="8" w:space="0" w:color="auto"/>
            </w:tcBorders>
            <w:shd w:val="clear" w:color="000000" w:fill="D0CECE"/>
            <w:vAlign w:val="center"/>
          </w:tcPr>
          <w:p w14:paraId="224C00F2" w14:textId="0BD0BFDF"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0</w:t>
            </w:r>
          </w:p>
        </w:tc>
        <w:tc>
          <w:tcPr>
            <w:tcW w:w="478" w:type="pct"/>
            <w:tcBorders>
              <w:top w:val="nil"/>
              <w:left w:val="nil"/>
              <w:bottom w:val="single" w:sz="8" w:space="0" w:color="auto"/>
              <w:right w:val="single" w:sz="8" w:space="0" w:color="auto"/>
            </w:tcBorders>
            <w:shd w:val="clear" w:color="000000" w:fill="D0CECE"/>
            <w:vAlign w:val="center"/>
          </w:tcPr>
          <w:p w14:paraId="7F95F92C" w14:textId="625D8B27"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0</w:t>
            </w:r>
          </w:p>
        </w:tc>
      </w:tr>
      <w:tr w:rsidR="00A55933" w:rsidRPr="00A55933" w14:paraId="43726E15" w14:textId="378513EE" w:rsidTr="00A55933">
        <w:trPr>
          <w:trHeight w:val="1217"/>
          <w:jc w:val="center"/>
        </w:trPr>
        <w:tc>
          <w:tcPr>
            <w:tcW w:w="1989" w:type="pct"/>
            <w:tcBorders>
              <w:top w:val="single" w:sz="4" w:space="0" w:color="auto"/>
              <w:left w:val="single" w:sz="8" w:space="0" w:color="auto"/>
              <w:bottom w:val="single" w:sz="8" w:space="0" w:color="auto"/>
              <w:right w:val="single" w:sz="8" w:space="0" w:color="auto"/>
            </w:tcBorders>
            <w:shd w:val="clear" w:color="000000" w:fill="FFFFFF"/>
            <w:vAlign w:val="center"/>
            <w:hideMark/>
          </w:tcPr>
          <w:p w14:paraId="65881641"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3582 Health and safety managers and officers</w:t>
            </w:r>
          </w:p>
        </w:tc>
        <w:tc>
          <w:tcPr>
            <w:tcW w:w="622" w:type="pct"/>
            <w:vMerge/>
            <w:tcBorders>
              <w:top w:val="single" w:sz="4" w:space="0" w:color="auto"/>
              <w:left w:val="single" w:sz="8" w:space="0" w:color="auto"/>
              <w:bottom w:val="single" w:sz="8" w:space="0" w:color="000000"/>
              <w:right w:val="single" w:sz="8" w:space="0" w:color="auto"/>
            </w:tcBorders>
            <w:shd w:val="clear" w:color="auto" w:fill="B8F8FF" w:themeFill="accent1" w:themeFillTint="33"/>
            <w:vAlign w:val="center"/>
            <w:hideMark/>
          </w:tcPr>
          <w:p w14:paraId="30CAB3E0"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single" w:sz="4" w:space="0" w:color="auto"/>
              <w:left w:val="nil"/>
              <w:bottom w:val="single" w:sz="8" w:space="0" w:color="auto"/>
              <w:right w:val="single" w:sz="8" w:space="0" w:color="auto"/>
            </w:tcBorders>
            <w:shd w:val="clear" w:color="000000" w:fill="D0CECE"/>
            <w:vAlign w:val="center"/>
            <w:hideMark/>
          </w:tcPr>
          <w:p w14:paraId="6B63604E" w14:textId="77777777"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79</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5E72788F" w14:textId="3896DCEA"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40</w:t>
            </w:r>
          </w:p>
        </w:tc>
        <w:tc>
          <w:tcPr>
            <w:tcW w:w="478" w:type="pct"/>
            <w:tcBorders>
              <w:top w:val="nil"/>
              <w:left w:val="nil"/>
              <w:bottom w:val="single" w:sz="8" w:space="0" w:color="auto"/>
              <w:right w:val="single" w:sz="8" w:space="0" w:color="auto"/>
            </w:tcBorders>
            <w:vAlign w:val="center"/>
            <w:hideMark/>
          </w:tcPr>
          <w:p w14:paraId="6887F943" w14:textId="0AF0D75A"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8</w:t>
            </w:r>
          </w:p>
        </w:tc>
        <w:tc>
          <w:tcPr>
            <w:tcW w:w="478" w:type="pct"/>
            <w:tcBorders>
              <w:top w:val="nil"/>
              <w:left w:val="nil"/>
              <w:bottom w:val="single" w:sz="8" w:space="0" w:color="auto"/>
              <w:right w:val="single" w:sz="8" w:space="0" w:color="auto"/>
            </w:tcBorders>
            <w:vAlign w:val="center"/>
          </w:tcPr>
          <w:p w14:paraId="4EC4D4C0" w14:textId="548258A8"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8</w:t>
            </w:r>
          </w:p>
        </w:tc>
        <w:tc>
          <w:tcPr>
            <w:tcW w:w="478" w:type="pct"/>
            <w:tcBorders>
              <w:top w:val="nil"/>
              <w:left w:val="nil"/>
              <w:bottom w:val="single" w:sz="8" w:space="0" w:color="auto"/>
              <w:right w:val="single" w:sz="8" w:space="0" w:color="auto"/>
            </w:tcBorders>
            <w:shd w:val="clear" w:color="000000" w:fill="D0CECE"/>
            <w:vAlign w:val="center"/>
          </w:tcPr>
          <w:p w14:paraId="075A708C" w14:textId="27901161"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23</w:t>
            </w:r>
          </w:p>
        </w:tc>
      </w:tr>
      <w:tr w:rsidR="00A55933" w:rsidRPr="00A55933" w14:paraId="4AF688E8" w14:textId="339C7198" w:rsidTr="00A55933">
        <w:trPr>
          <w:trHeight w:val="1217"/>
          <w:jc w:val="center"/>
        </w:trPr>
        <w:tc>
          <w:tcPr>
            <w:tcW w:w="1989" w:type="pct"/>
            <w:tcBorders>
              <w:top w:val="nil"/>
              <w:left w:val="single" w:sz="8" w:space="0" w:color="auto"/>
              <w:bottom w:val="single" w:sz="8" w:space="0" w:color="auto"/>
              <w:right w:val="single" w:sz="8" w:space="0" w:color="auto"/>
            </w:tcBorders>
            <w:shd w:val="clear" w:color="000000" w:fill="FFFFFF"/>
            <w:vAlign w:val="center"/>
            <w:hideMark/>
          </w:tcPr>
          <w:p w14:paraId="17F6074E"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4159 Other administrative occupations n.e.c.</w:t>
            </w:r>
          </w:p>
        </w:tc>
        <w:tc>
          <w:tcPr>
            <w:tcW w:w="622" w:type="pct"/>
            <w:vMerge/>
            <w:tcBorders>
              <w:top w:val="nil"/>
              <w:left w:val="single" w:sz="8" w:space="0" w:color="auto"/>
              <w:bottom w:val="single" w:sz="8" w:space="0" w:color="000000"/>
              <w:right w:val="single" w:sz="8" w:space="0" w:color="auto"/>
            </w:tcBorders>
            <w:shd w:val="clear" w:color="auto" w:fill="B8F8FF" w:themeFill="accent1" w:themeFillTint="33"/>
            <w:vAlign w:val="center"/>
            <w:hideMark/>
          </w:tcPr>
          <w:p w14:paraId="5482EF7C"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nil"/>
              <w:left w:val="nil"/>
              <w:bottom w:val="single" w:sz="8" w:space="0" w:color="auto"/>
              <w:right w:val="single" w:sz="8" w:space="0" w:color="auto"/>
            </w:tcBorders>
            <w:shd w:val="clear" w:color="000000" w:fill="FFFFFF"/>
            <w:vAlign w:val="center"/>
            <w:hideMark/>
          </w:tcPr>
          <w:p w14:paraId="3E2A5212" w14:textId="77777777"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518</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789B5733" w14:textId="1E5F77F6"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255</w:t>
            </w:r>
          </w:p>
        </w:tc>
        <w:tc>
          <w:tcPr>
            <w:tcW w:w="478" w:type="pct"/>
            <w:tcBorders>
              <w:top w:val="nil"/>
              <w:left w:val="nil"/>
              <w:bottom w:val="single" w:sz="8" w:space="0" w:color="auto"/>
              <w:right w:val="single" w:sz="8" w:space="0" w:color="auto"/>
            </w:tcBorders>
            <w:vAlign w:val="center"/>
            <w:hideMark/>
          </w:tcPr>
          <w:p w14:paraId="7A6D377C" w14:textId="74FEE7E5"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60</w:t>
            </w:r>
          </w:p>
        </w:tc>
        <w:tc>
          <w:tcPr>
            <w:tcW w:w="478" w:type="pct"/>
            <w:tcBorders>
              <w:top w:val="nil"/>
              <w:left w:val="nil"/>
              <w:bottom w:val="single" w:sz="8" w:space="0" w:color="auto"/>
              <w:right w:val="single" w:sz="8" w:space="0" w:color="auto"/>
            </w:tcBorders>
            <w:vAlign w:val="center"/>
          </w:tcPr>
          <w:p w14:paraId="7F4EC278" w14:textId="72133B58"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45</w:t>
            </w:r>
          </w:p>
        </w:tc>
        <w:tc>
          <w:tcPr>
            <w:tcW w:w="478" w:type="pct"/>
            <w:tcBorders>
              <w:top w:val="nil"/>
              <w:left w:val="nil"/>
              <w:bottom w:val="single" w:sz="8" w:space="0" w:color="auto"/>
              <w:right w:val="single" w:sz="8" w:space="0" w:color="auto"/>
            </w:tcBorders>
            <w:vAlign w:val="center"/>
          </w:tcPr>
          <w:p w14:paraId="13BE99AE" w14:textId="66D8823F"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158</w:t>
            </w:r>
          </w:p>
        </w:tc>
      </w:tr>
      <w:tr w:rsidR="00A55933" w:rsidRPr="00A55933" w14:paraId="6ED59201" w14:textId="121A6A4D" w:rsidTr="00A55933">
        <w:trPr>
          <w:trHeight w:val="1217"/>
          <w:jc w:val="center"/>
        </w:trPr>
        <w:tc>
          <w:tcPr>
            <w:tcW w:w="1989" w:type="pct"/>
            <w:tcBorders>
              <w:top w:val="nil"/>
              <w:left w:val="single" w:sz="8" w:space="0" w:color="auto"/>
              <w:bottom w:val="single" w:sz="8" w:space="0" w:color="auto"/>
              <w:right w:val="single" w:sz="8" w:space="0" w:color="auto"/>
            </w:tcBorders>
            <w:shd w:val="clear" w:color="000000" w:fill="FFFFFF"/>
            <w:vAlign w:val="center"/>
            <w:hideMark/>
          </w:tcPr>
          <w:p w14:paraId="6EEF05AB"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5250 Skilled metal, electrical and electronic trades supervisors</w:t>
            </w:r>
          </w:p>
        </w:tc>
        <w:tc>
          <w:tcPr>
            <w:tcW w:w="622" w:type="pct"/>
            <w:vMerge/>
            <w:tcBorders>
              <w:top w:val="nil"/>
              <w:left w:val="single" w:sz="8" w:space="0" w:color="auto"/>
              <w:bottom w:val="single" w:sz="8" w:space="0" w:color="000000"/>
              <w:right w:val="single" w:sz="8" w:space="0" w:color="auto"/>
            </w:tcBorders>
            <w:shd w:val="clear" w:color="auto" w:fill="B8F8FF" w:themeFill="accent1" w:themeFillTint="33"/>
            <w:vAlign w:val="center"/>
            <w:hideMark/>
          </w:tcPr>
          <w:p w14:paraId="62B965B5"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nil"/>
              <w:left w:val="nil"/>
              <w:bottom w:val="single" w:sz="8" w:space="0" w:color="auto"/>
              <w:right w:val="single" w:sz="8" w:space="0" w:color="auto"/>
            </w:tcBorders>
            <w:shd w:val="clear" w:color="000000" w:fill="D0CECE"/>
            <w:vAlign w:val="center"/>
            <w:hideMark/>
          </w:tcPr>
          <w:p w14:paraId="7D7FC2DE" w14:textId="77777777"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275</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2963B0FE" w14:textId="5B18387E"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143</w:t>
            </w:r>
          </w:p>
        </w:tc>
        <w:tc>
          <w:tcPr>
            <w:tcW w:w="478" w:type="pct"/>
            <w:tcBorders>
              <w:top w:val="nil"/>
              <w:left w:val="nil"/>
              <w:bottom w:val="single" w:sz="8" w:space="0" w:color="auto"/>
              <w:right w:val="single" w:sz="8" w:space="0" w:color="auto"/>
            </w:tcBorders>
            <w:shd w:val="clear" w:color="000000" w:fill="D0CECE"/>
            <w:vAlign w:val="center"/>
            <w:hideMark/>
          </w:tcPr>
          <w:p w14:paraId="7089BAF1" w14:textId="5F808963"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31</w:t>
            </w:r>
          </w:p>
        </w:tc>
        <w:tc>
          <w:tcPr>
            <w:tcW w:w="478" w:type="pct"/>
            <w:tcBorders>
              <w:top w:val="nil"/>
              <w:left w:val="nil"/>
              <w:bottom w:val="single" w:sz="8" w:space="0" w:color="auto"/>
              <w:right w:val="single" w:sz="8" w:space="0" w:color="auto"/>
            </w:tcBorders>
            <w:shd w:val="clear" w:color="000000" w:fill="D0CECE"/>
            <w:vAlign w:val="center"/>
          </w:tcPr>
          <w:p w14:paraId="642402DC" w14:textId="61239638"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14</w:t>
            </w:r>
          </w:p>
        </w:tc>
        <w:tc>
          <w:tcPr>
            <w:tcW w:w="478" w:type="pct"/>
            <w:tcBorders>
              <w:top w:val="nil"/>
              <w:left w:val="nil"/>
              <w:bottom w:val="single" w:sz="8" w:space="0" w:color="auto"/>
              <w:right w:val="single" w:sz="8" w:space="0" w:color="auto"/>
            </w:tcBorders>
            <w:shd w:val="clear" w:color="000000" w:fill="D0CECE"/>
            <w:vAlign w:val="center"/>
          </w:tcPr>
          <w:p w14:paraId="1A6CC765" w14:textId="2D46DAD4"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87</w:t>
            </w:r>
          </w:p>
        </w:tc>
      </w:tr>
      <w:tr w:rsidR="00A55933" w:rsidRPr="00A55933" w14:paraId="72BB9E1A" w14:textId="5A2A22BD" w:rsidTr="00A55933">
        <w:trPr>
          <w:trHeight w:val="1217"/>
          <w:jc w:val="center"/>
        </w:trPr>
        <w:tc>
          <w:tcPr>
            <w:tcW w:w="1989" w:type="pct"/>
            <w:tcBorders>
              <w:top w:val="nil"/>
              <w:left w:val="single" w:sz="8" w:space="0" w:color="auto"/>
              <w:bottom w:val="single" w:sz="8" w:space="0" w:color="auto"/>
              <w:right w:val="single" w:sz="8" w:space="0" w:color="auto"/>
            </w:tcBorders>
            <w:shd w:val="clear" w:color="000000" w:fill="FFFFFF"/>
            <w:vAlign w:val="center"/>
            <w:hideMark/>
          </w:tcPr>
          <w:p w14:paraId="124F2448"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5330 Construction and building trades supervisors</w:t>
            </w:r>
          </w:p>
        </w:tc>
        <w:tc>
          <w:tcPr>
            <w:tcW w:w="622" w:type="pct"/>
            <w:vMerge/>
            <w:tcBorders>
              <w:top w:val="nil"/>
              <w:left w:val="single" w:sz="8" w:space="0" w:color="auto"/>
              <w:bottom w:val="single" w:sz="8" w:space="0" w:color="000000"/>
              <w:right w:val="single" w:sz="8" w:space="0" w:color="auto"/>
            </w:tcBorders>
            <w:shd w:val="clear" w:color="auto" w:fill="B8F8FF" w:themeFill="accent1" w:themeFillTint="33"/>
            <w:vAlign w:val="center"/>
            <w:hideMark/>
          </w:tcPr>
          <w:p w14:paraId="012F91A3" w14:textId="77777777" w:rsidR="00A55933" w:rsidRPr="00A55933" w:rsidRDefault="00A55933" w:rsidP="00A55933">
            <w:pPr>
              <w:spacing w:after="0"/>
              <w:rPr>
                <w:rFonts w:eastAsia="Times New Roman" w:cs="Arial"/>
                <w:color w:val="auto"/>
                <w:sz w:val="16"/>
                <w:szCs w:val="16"/>
                <w:lang w:eastAsia="en-GB"/>
              </w:rPr>
            </w:pPr>
          </w:p>
        </w:tc>
        <w:tc>
          <w:tcPr>
            <w:tcW w:w="478" w:type="pct"/>
            <w:tcBorders>
              <w:top w:val="nil"/>
              <w:left w:val="nil"/>
              <w:bottom w:val="single" w:sz="8" w:space="0" w:color="auto"/>
              <w:right w:val="single" w:sz="8" w:space="0" w:color="auto"/>
            </w:tcBorders>
            <w:shd w:val="clear" w:color="000000" w:fill="D0CECE"/>
            <w:vAlign w:val="center"/>
            <w:hideMark/>
          </w:tcPr>
          <w:p w14:paraId="18F2C587" w14:textId="77777777" w:rsidR="00A55933" w:rsidRPr="007772F8" w:rsidRDefault="00A55933" w:rsidP="00A55933">
            <w:pPr>
              <w:spacing w:after="0"/>
              <w:jc w:val="center"/>
              <w:rPr>
                <w:rFonts w:eastAsia="Times New Roman" w:cs="Arial"/>
                <w:color w:val="000000" w:themeColor="text1"/>
                <w:sz w:val="16"/>
                <w:szCs w:val="16"/>
                <w:lang w:eastAsia="en-GB"/>
              </w:rPr>
            </w:pPr>
            <w:r w:rsidRPr="007772F8">
              <w:rPr>
                <w:rFonts w:eastAsia="Times New Roman" w:cs="Arial"/>
                <w:color w:val="000000" w:themeColor="text1"/>
                <w:sz w:val="16"/>
                <w:szCs w:val="16"/>
                <w:lang w:eastAsia="en-GB"/>
              </w:rPr>
              <w:t>0</w:t>
            </w:r>
          </w:p>
        </w:tc>
        <w:tc>
          <w:tcPr>
            <w:tcW w:w="478" w:type="pct"/>
            <w:tcBorders>
              <w:top w:val="nil"/>
              <w:left w:val="single" w:sz="8" w:space="0" w:color="auto"/>
              <w:bottom w:val="single" w:sz="8" w:space="0" w:color="auto"/>
              <w:right w:val="single" w:sz="8" w:space="0" w:color="auto"/>
            </w:tcBorders>
            <w:shd w:val="clear" w:color="000000" w:fill="D0CECE"/>
            <w:vAlign w:val="center"/>
            <w:hideMark/>
          </w:tcPr>
          <w:p w14:paraId="34907F12" w14:textId="1BDD2E0F"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0</w:t>
            </w:r>
          </w:p>
        </w:tc>
        <w:tc>
          <w:tcPr>
            <w:tcW w:w="478" w:type="pct"/>
            <w:tcBorders>
              <w:top w:val="nil"/>
              <w:left w:val="nil"/>
              <w:bottom w:val="single" w:sz="8" w:space="0" w:color="auto"/>
              <w:right w:val="single" w:sz="8" w:space="0" w:color="auto"/>
            </w:tcBorders>
            <w:shd w:val="clear" w:color="000000" w:fill="D0CECE"/>
            <w:vAlign w:val="center"/>
            <w:hideMark/>
          </w:tcPr>
          <w:p w14:paraId="2667AF45" w14:textId="2922EFF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0</w:t>
            </w:r>
          </w:p>
        </w:tc>
        <w:tc>
          <w:tcPr>
            <w:tcW w:w="478" w:type="pct"/>
            <w:tcBorders>
              <w:top w:val="nil"/>
              <w:left w:val="nil"/>
              <w:bottom w:val="single" w:sz="8" w:space="0" w:color="auto"/>
              <w:right w:val="single" w:sz="8" w:space="0" w:color="auto"/>
            </w:tcBorders>
            <w:vAlign w:val="center"/>
          </w:tcPr>
          <w:p w14:paraId="7C1BA36E" w14:textId="3C5D9540"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0</w:t>
            </w:r>
          </w:p>
        </w:tc>
        <w:tc>
          <w:tcPr>
            <w:tcW w:w="478" w:type="pct"/>
            <w:tcBorders>
              <w:top w:val="nil"/>
              <w:left w:val="nil"/>
              <w:bottom w:val="single" w:sz="8" w:space="0" w:color="auto"/>
              <w:right w:val="single" w:sz="8" w:space="0" w:color="auto"/>
            </w:tcBorders>
            <w:shd w:val="clear" w:color="000000" w:fill="D0CECE"/>
            <w:vAlign w:val="center"/>
          </w:tcPr>
          <w:p w14:paraId="1D839D94" w14:textId="6D339802"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0</w:t>
            </w:r>
          </w:p>
        </w:tc>
      </w:tr>
    </w:tbl>
    <w:p w14:paraId="0DF72E12" w14:textId="77777777" w:rsidR="00975BD6" w:rsidRPr="00015203" w:rsidRDefault="00975BD6" w:rsidP="00103CB1">
      <w:pPr>
        <w:spacing w:after="120" w:line="278" w:lineRule="auto"/>
        <w:jc w:val="both"/>
        <w:rPr>
          <w:color w:val="6D6E71" w:themeColor="accent3"/>
          <w:sz w:val="18"/>
          <w:szCs w:val="16"/>
        </w:rPr>
      </w:pPr>
    </w:p>
    <w:p w14:paraId="1C1D6386" w14:textId="2E7FCD9E" w:rsidR="00103CB1" w:rsidRPr="00015203" w:rsidRDefault="00103CB1">
      <w:pPr>
        <w:spacing w:after="0"/>
        <w:rPr>
          <w:color w:val="6D6E71" w:themeColor="accent3"/>
          <w:sz w:val="18"/>
          <w:szCs w:val="16"/>
        </w:rPr>
      </w:pPr>
      <w:r w:rsidRPr="00015203">
        <w:rPr>
          <w:color w:val="6D6E71" w:themeColor="accent3"/>
          <w:sz w:val="18"/>
          <w:szCs w:val="16"/>
        </w:rPr>
        <w:br w:type="page"/>
      </w:r>
    </w:p>
    <w:p w14:paraId="3230002E" w14:textId="2B786D94" w:rsidR="00103CB1" w:rsidRPr="00015203" w:rsidRDefault="003428AF" w:rsidP="00456C4A">
      <w:pPr>
        <w:pStyle w:val="Heading2"/>
        <w:numPr>
          <w:ilvl w:val="0"/>
          <w:numId w:val="0"/>
        </w:numPr>
        <w:spacing w:line="278" w:lineRule="auto"/>
      </w:pPr>
      <w:bookmarkStart w:id="38" w:name="_Toc221182672"/>
      <w:r>
        <w:lastRenderedPageBreak/>
        <w:t xml:space="preserve">Appendix B – </w:t>
      </w:r>
      <w:r w:rsidR="00103CB1" w:rsidRPr="00015203">
        <w:t>detailed breakdown</w:t>
      </w:r>
      <w:r>
        <w:t xml:space="preserve"> of adjacent estimates</w:t>
      </w:r>
      <w:bookmarkEnd w:id="38"/>
    </w:p>
    <w:p w14:paraId="0C660EA8" w14:textId="59998121" w:rsidR="00103CB1" w:rsidRPr="007772F8" w:rsidRDefault="00236ADA" w:rsidP="0090110B">
      <w:pPr>
        <w:spacing w:after="120" w:line="278" w:lineRule="auto"/>
        <w:rPr>
          <w:sz w:val="16"/>
          <w:szCs w:val="16"/>
        </w:rPr>
      </w:pPr>
      <w:r w:rsidRPr="00A55933">
        <w:rPr>
          <w:color w:val="6D6E71" w:themeColor="accent3"/>
          <w:sz w:val="18"/>
        </w:rPr>
        <w:t xml:space="preserve">Table </w:t>
      </w:r>
      <w:r w:rsidRPr="00A55933">
        <w:rPr>
          <w:color w:val="6D6E71" w:themeColor="accent3"/>
          <w:sz w:val="18"/>
        </w:rPr>
        <w:fldChar w:fldCharType="begin"/>
      </w:r>
      <w:r w:rsidRPr="00A55933">
        <w:rPr>
          <w:color w:val="6D6E71" w:themeColor="accent3"/>
          <w:sz w:val="18"/>
        </w:rPr>
        <w:instrText xml:space="preserve"> SEQ Table \* ARABIC </w:instrText>
      </w:r>
      <w:r w:rsidRPr="00A55933">
        <w:rPr>
          <w:color w:val="6D6E71" w:themeColor="accent3"/>
          <w:sz w:val="18"/>
        </w:rPr>
        <w:fldChar w:fldCharType="separate"/>
      </w:r>
      <w:r w:rsidR="004775B5">
        <w:rPr>
          <w:noProof/>
          <w:color w:val="6D6E71" w:themeColor="accent3"/>
          <w:sz w:val="18"/>
        </w:rPr>
        <w:t>14</w:t>
      </w:r>
      <w:r w:rsidRPr="00A55933">
        <w:rPr>
          <w:color w:val="6D6E71" w:themeColor="accent3"/>
          <w:sz w:val="18"/>
        </w:rPr>
        <w:fldChar w:fldCharType="end"/>
      </w:r>
      <w:r w:rsidR="00915F2E" w:rsidRPr="00015203">
        <w:rPr>
          <w:color w:val="6D6E71" w:themeColor="accent3"/>
          <w:sz w:val="18"/>
          <w:szCs w:val="16"/>
        </w:rPr>
        <w:t>: Welsh retrofit-adjacent workforce capacity estimates by occupational code</w:t>
      </w:r>
      <w:r w:rsidR="007772F8">
        <w:rPr>
          <w:color w:val="6D6E71" w:themeColor="accent3"/>
          <w:sz w:val="18"/>
          <w:szCs w:val="16"/>
        </w:rPr>
        <w:t xml:space="preserve"> </w:t>
      </w:r>
      <w:r w:rsidR="007772F8" w:rsidRPr="007772F8">
        <w:rPr>
          <w:color w:val="6D6E71" w:themeColor="accent3"/>
          <w:sz w:val="18"/>
          <w:szCs w:val="18"/>
        </w:rPr>
        <w:t>[</w:t>
      </w:r>
      <w:r w:rsidR="0090110B" w:rsidRPr="007772F8">
        <w:rPr>
          <w:color w:val="6D6E71" w:themeColor="accent3"/>
          <w:sz w:val="18"/>
          <w:szCs w:val="18"/>
        </w:rPr>
        <w:footnoteReference w:id="4"/>
      </w:r>
      <w:r w:rsidR="007772F8" w:rsidRPr="007772F8">
        <w:rPr>
          <w:color w:val="6D6E71" w:themeColor="accent3"/>
          <w:sz w:val="18"/>
          <w:szCs w:val="18"/>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Table 14: Welsh retrofit-adjacent workforce capacity estimates by occupational code "/>
        <w:tblDescription w:val="Table showing estimated adjacent retrofit workforce capacity in Wales by occupation (SOC code), functional role, and region, including national totals and regional breakdowns for South East Wales, South West Wales, Mid Wales, and North Wales."/>
      </w:tblPr>
      <w:tblGrid>
        <w:gridCol w:w="2641"/>
        <w:gridCol w:w="1026"/>
        <w:gridCol w:w="1141"/>
        <w:gridCol w:w="846"/>
        <w:gridCol w:w="850"/>
        <w:gridCol w:w="846"/>
        <w:gridCol w:w="846"/>
        <w:gridCol w:w="844"/>
      </w:tblGrid>
      <w:tr w:rsidR="00A55933" w:rsidRPr="00A55933" w14:paraId="22442A30" w14:textId="3E31EC9F" w:rsidTr="00A55933">
        <w:trPr>
          <w:trHeight w:val="852"/>
          <w:tblHeader/>
          <w:jc w:val="center"/>
        </w:trPr>
        <w:tc>
          <w:tcPr>
            <w:tcW w:w="1461" w:type="pct"/>
            <w:vMerge w:val="restart"/>
            <w:shd w:val="clear" w:color="auto" w:fill="C4BC96" w:themeFill="background2" w:themeFillShade="BF"/>
            <w:noWrap/>
            <w:vAlign w:val="center"/>
            <w:hideMark/>
          </w:tcPr>
          <w:p w14:paraId="1463230A" w14:textId="77777777" w:rsidR="00A55933" w:rsidRPr="00A55933" w:rsidRDefault="00A55933" w:rsidP="00752814">
            <w:pPr>
              <w:spacing w:after="0"/>
              <w:jc w:val="center"/>
              <w:rPr>
                <w:rFonts w:eastAsia="Times New Roman" w:cs="Calibri"/>
                <w:b/>
                <w:bCs/>
                <w:color w:val="auto"/>
                <w:sz w:val="16"/>
                <w:szCs w:val="16"/>
                <w:lang w:eastAsia="en-GB"/>
              </w:rPr>
            </w:pPr>
            <w:r w:rsidRPr="00A55933">
              <w:rPr>
                <w:rFonts w:eastAsia="Times New Roman" w:cs="Calibri"/>
                <w:b/>
                <w:bCs/>
                <w:color w:val="auto"/>
                <w:sz w:val="16"/>
                <w:szCs w:val="16"/>
                <w:lang w:eastAsia="en-GB"/>
              </w:rPr>
              <w:t>SOC Code</w:t>
            </w:r>
          </w:p>
        </w:tc>
        <w:tc>
          <w:tcPr>
            <w:tcW w:w="567" w:type="pct"/>
            <w:vMerge w:val="restart"/>
            <w:shd w:val="clear" w:color="auto" w:fill="C4BC96" w:themeFill="background2" w:themeFillShade="BF"/>
            <w:vAlign w:val="center"/>
            <w:hideMark/>
          </w:tcPr>
          <w:p w14:paraId="3A440635" w14:textId="4B3E05FA" w:rsidR="00A55933" w:rsidRPr="00A55933" w:rsidRDefault="00A55933" w:rsidP="00752814">
            <w:pPr>
              <w:spacing w:after="0"/>
              <w:jc w:val="center"/>
              <w:rPr>
                <w:rFonts w:eastAsia="Times New Roman" w:cs="Calibri"/>
                <w:b/>
                <w:bCs/>
                <w:color w:val="auto"/>
                <w:sz w:val="16"/>
                <w:szCs w:val="16"/>
                <w:lang w:eastAsia="en-GB"/>
              </w:rPr>
            </w:pPr>
            <w:r w:rsidRPr="00A55933">
              <w:rPr>
                <w:rFonts w:eastAsia="Times New Roman" w:cs="Calibri"/>
                <w:b/>
                <w:bCs/>
                <w:color w:val="auto"/>
                <w:sz w:val="16"/>
                <w:szCs w:val="16"/>
                <w:lang w:eastAsia="en-GB"/>
              </w:rPr>
              <w:t>Relation to retrofit</w:t>
            </w:r>
          </w:p>
        </w:tc>
        <w:tc>
          <w:tcPr>
            <w:tcW w:w="631" w:type="pct"/>
            <w:vMerge w:val="restart"/>
            <w:shd w:val="clear" w:color="auto" w:fill="C4BC96" w:themeFill="background2" w:themeFillShade="BF"/>
            <w:vAlign w:val="center"/>
            <w:hideMark/>
          </w:tcPr>
          <w:p w14:paraId="5EAEF558" w14:textId="7F58C7E1" w:rsidR="00A55933" w:rsidRPr="00A55933" w:rsidRDefault="00A55933" w:rsidP="00752814">
            <w:pPr>
              <w:spacing w:after="0"/>
              <w:jc w:val="center"/>
              <w:rPr>
                <w:rFonts w:eastAsia="Times New Roman" w:cs="Calibri"/>
                <w:b/>
                <w:bCs/>
                <w:color w:val="auto"/>
                <w:sz w:val="16"/>
                <w:szCs w:val="16"/>
                <w:lang w:eastAsia="en-GB"/>
              </w:rPr>
            </w:pPr>
            <w:r w:rsidRPr="00A55933">
              <w:rPr>
                <w:rFonts w:eastAsia="Times New Roman" w:cs="Calibri"/>
                <w:b/>
                <w:bCs/>
                <w:color w:val="auto"/>
                <w:sz w:val="16"/>
                <w:szCs w:val="16"/>
                <w:lang w:eastAsia="en-GB"/>
              </w:rPr>
              <w:t>Function</w:t>
            </w:r>
            <w:r w:rsidR="007772F8">
              <w:rPr>
                <w:rFonts w:eastAsia="Times New Roman" w:cs="Calibri"/>
                <w:b/>
                <w:bCs/>
                <w:color w:val="auto"/>
                <w:sz w:val="16"/>
                <w:szCs w:val="16"/>
                <w:lang w:eastAsia="en-GB"/>
              </w:rPr>
              <w:t xml:space="preserve"> [</w:t>
            </w:r>
            <w:r w:rsidR="007772F8" w:rsidRPr="007772F8">
              <w:rPr>
                <w:rStyle w:val="FootnoteReference"/>
                <w:rFonts w:eastAsia="Times New Roman" w:cs="Calibri"/>
                <w:b/>
                <w:bCs/>
                <w:position w:val="0"/>
                <w:szCs w:val="16"/>
                <w:lang w:eastAsia="en-GB"/>
              </w:rPr>
              <w:footnoteReference w:id="5"/>
            </w:r>
            <w:r w:rsidR="007772F8">
              <w:rPr>
                <w:rFonts w:eastAsia="Times New Roman" w:cs="Calibri"/>
                <w:b/>
                <w:bCs/>
                <w:color w:val="auto"/>
                <w:sz w:val="16"/>
                <w:szCs w:val="16"/>
                <w:lang w:eastAsia="en-GB"/>
              </w:rPr>
              <w:t>]</w:t>
            </w:r>
          </w:p>
        </w:tc>
        <w:tc>
          <w:tcPr>
            <w:tcW w:w="2341" w:type="pct"/>
            <w:gridSpan w:val="5"/>
            <w:shd w:val="clear" w:color="auto" w:fill="C4BC96" w:themeFill="background2" w:themeFillShade="BF"/>
            <w:vAlign w:val="center"/>
            <w:hideMark/>
          </w:tcPr>
          <w:p w14:paraId="1C4F62EF" w14:textId="301F7DED" w:rsidR="00A55933" w:rsidRPr="00A55933" w:rsidRDefault="00A55933" w:rsidP="00752814">
            <w:pPr>
              <w:spacing w:after="0"/>
              <w:jc w:val="center"/>
              <w:rPr>
                <w:rFonts w:eastAsia="Times New Roman" w:cs="Calibri"/>
                <w:b/>
                <w:bCs/>
                <w:color w:val="auto"/>
                <w:sz w:val="16"/>
                <w:szCs w:val="16"/>
                <w:lang w:eastAsia="en-GB"/>
              </w:rPr>
            </w:pPr>
            <w:r w:rsidRPr="00A55933">
              <w:rPr>
                <w:rFonts w:eastAsia="Times New Roman" w:cs="Calibri"/>
                <w:b/>
                <w:bCs/>
                <w:color w:val="auto"/>
                <w:sz w:val="16"/>
                <w:szCs w:val="16"/>
                <w:lang w:eastAsia="en-GB"/>
              </w:rPr>
              <w:t>Adjacent workforce capacity estimate</w:t>
            </w:r>
          </w:p>
        </w:tc>
      </w:tr>
      <w:tr w:rsidR="00A55933" w:rsidRPr="00A55933" w14:paraId="28EF55FC" w14:textId="2C933621" w:rsidTr="00A55933">
        <w:trPr>
          <w:trHeight w:val="855"/>
          <w:tblHeader/>
          <w:jc w:val="center"/>
        </w:trPr>
        <w:tc>
          <w:tcPr>
            <w:tcW w:w="1461" w:type="pct"/>
            <w:vMerge/>
            <w:shd w:val="clear" w:color="auto" w:fill="C4BC96" w:themeFill="background2" w:themeFillShade="BF"/>
            <w:vAlign w:val="center"/>
            <w:hideMark/>
          </w:tcPr>
          <w:p w14:paraId="2C132F02" w14:textId="77777777" w:rsidR="00A55933" w:rsidRPr="00A55933" w:rsidRDefault="00A55933" w:rsidP="00A55933">
            <w:pPr>
              <w:spacing w:after="0"/>
              <w:rPr>
                <w:rFonts w:eastAsia="Times New Roman" w:cs="Calibri"/>
                <w:b/>
                <w:bCs/>
                <w:color w:val="auto"/>
                <w:sz w:val="16"/>
                <w:szCs w:val="16"/>
                <w:lang w:eastAsia="en-GB"/>
              </w:rPr>
            </w:pPr>
          </w:p>
        </w:tc>
        <w:tc>
          <w:tcPr>
            <w:tcW w:w="567" w:type="pct"/>
            <w:vMerge/>
            <w:shd w:val="clear" w:color="auto" w:fill="C4BC96" w:themeFill="background2" w:themeFillShade="BF"/>
            <w:vAlign w:val="center"/>
            <w:hideMark/>
          </w:tcPr>
          <w:p w14:paraId="76FF22B6" w14:textId="77777777" w:rsidR="00A55933" w:rsidRPr="00A55933" w:rsidRDefault="00A55933" w:rsidP="00A55933">
            <w:pPr>
              <w:spacing w:after="0"/>
              <w:rPr>
                <w:rFonts w:eastAsia="Times New Roman" w:cs="Calibri"/>
                <w:b/>
                <w:bCs/>
                <w:color w:val="auto"/>
                <w:sz w:val="16"/>
                <w:szCs w:val="16"/>
                <w:lang w:eastAsia="en-GB"/>
              </w:rPr>
            </w:pPr>
          </w:p>
        </w:tc>
        <w:tc>
          <w:tcPr>
            <w:tcW w:w="631" w:type="pct"/>
            <w:vMerge/>
            <w:shd w:val="clear" w:color="auto" w:fill="C4BC96" w:themeFill="background2" w:themeFillShade="BF"/>
            <w:vAlign w:val="center"/>
            <w:hideMark/>
          </w:tcPr>
          <w:p w14:paraId="34E388CB" w14:textId="77777777" w:rsidR="00A55933" w:rsidRPr="00A55933" w:rsidRDefault="00A55933" w:rsidP="00A55933">
            <w:pPr>
              <w:spacing w:after="0"/>
              <w:rPr>
                <w:rFonts w:eastAsia="Times New Roman" w:cs="Calibri"/>
                <w:b/>
                <w:bCs/>
                <w:color w:val="auto"/>
                <w:sz w:val="16"/>
                <w:szCs w:val="16"/>
                <w:lang w:eastAsia="en-GB"/>
              </w:rPr>
            </w:pPr>
          </w:p>
        </w:tc>
        <w:tc>
          <w:tcPr>
            <w:tcW w:w="468"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1803A426" w14:textId="581F660D" w:rsidR="00A55933" w:rsidRPr="00A55933" w:rsidRDefault="00A55933" w:rsidP="00A55933">
            <w:pPr>
              <w:spacing w:after="0"/>
              <w:jc w:val="center"/>
              <w:rPr>
                <w:rFonts w:eastAsia="Times New Roman" w:cs="Calibri"/>
                <w:b/>
                <w:bCs/>
                <w:color w:val="auto"/>
                <w:sz w:val="16"/>
                <w:szCs w:val="16"/>
                <w:lang w:eastAsia="en-GB"/>
              </w:rPr>
            </w:pPr>
            <w:r w:rsidRPr="00A55933">
              <w:rPr>
                <w:rFonts w:eastAsia="Times New Roman" w:cs="Calibri"/>
                <w:b/>
                <w:bCs/>
                <w:color w:val="auto"/>
                <w:sz w:val="16"/>
                <w:szCs w:val="16"/>
                <w:lang w:eastAsia="en-GB"/>
              </w:rPr>
              <w:t>Wales</w:t>
            </w:r>
          </w:p>
        </w:tc>
        <w:tc>
          <w:tcPr>
            <w:tcW w:w="470"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5EBCF575" w14:textId="1ECA696E" w:rsidR="00A55933" w:rsidRPr="00A55933" w:rsidRDefault="00A55933" w:rsidP="00A55933">
            <w:pPr>
              <w:spacing w:after="0"/>
              <w:jc w:val="center"/>
              <w:rPr>
                <w:rFonts w:eastAsia="Times New Roman" w:cs="Calibri"/>
                <w:b/>
                <w:bCs/>
                <w:color w:val="auto"/>
                <w:sz w:val="16"/>
                <w:szCs w:val="16"/>
                <w:lang w:eastAsia="en-GB"/>
              </w:rPr>
            </w:pPr>
            <w:r w:rsidRPr="00A55933">
              <w:rPr>
                <w:rFonts w:eastAsia="Times New Roman" w:cs="Calibri"/>
                <w:b/>
                <w:bCs/>
                <w:color w:val="auto"/>
                <w:sz w:val="16"/>
                <w:szCs w:val="16"/>
                <w:lang w:eastAsia="en-GB"/>
              </w:rPr>
              <w:t>South East Wales</w:t>
            </w:r>
          </w:p>
        </w:tc>
        <w:tc>
          <w:tcPr>
            <w:tcW w:w="468"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14:paraId="1221776D" w14:textId="3EF4C969" w:rsidR="00A55933" w:rsidRPr="00A55933" w:rsidRDefault="00A55933" w:rsidP="00A55933">
            <w:pPr>
              <w:spacing w:after="0"/>
              <w:jc w:val="center"/>
              <w:rPr>
                <w:rFonts w:eastAsia="Times New Roman" w:cs="Calibri"/>
                <w:b/>
                <w:bCs/>
                <w:color w:val="auto"/>
                <w:sz w:val="16"/>
                <w:szCs w:val="16"/>
                <w:lang w:eastAsia="en-GB"/>
              </w:rPr>
            </w:pPr>
            <w:r w:rsidRPr="00A55933">
              <w:rPr>
                <w:rFonts w:eastAsia="Times New Roman" w:cs="Calibri"/>
                <w:b/>
                <w:bCs/>
                <w:color w:val="auto"/>
                <w:sz w:val="16"/>
                <w:szCs w:val="16"/>
                <w:lang w:eastAsia="en-GB"/>
              </w:rPr>
              <w:t>South West Wales</w:t>
            </w:r>
          </w:p>
        </w:tc>
        <w:tc>
          <w:tcPr>
            <w:tcW w:w="468"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73FAF206" w14:textId="4FDF8B19" w:rsidR="00A55933" w:rsidRPr="00A55933" w:rsidRDefault="00A55933" w:rsidP="00A55933">
            <w:pPr>
              <w:spacing w:after="0"/>
              <w:jc w:val="center"/>
              <w:rPr>
                <w:rFonts w:eastAsia="Times New Roman" w:cs="Calibri"/>
                <w:b/>
                <w:bCs/>
                <w:color w:val="auto"/>
                <w:sz w:val="16"/>
                <w:szCs w:val="16"/>
                <w:lang w:eastAsia="en-GB"/>
              </w:rPr>
            </w:pPr>
            <w:r w:rsidRPr="00A55933">
              <w:rPr>
                <w:rFonts w:eastAsia="Times New Roman" w:cs="Calibri"/>
                <w:b/>
                <w:bCs/>
                <w:color w:val="auto"/>
                <w:sz w:val="16"/>
                <w:szCs w:val="16"/>
                <w:lang w:eastAsia="en-GB"/>
              </w:rPr>
              <w:t>Mid Wales</w:t>
            </w:r>
          </w:p>
        </w:tc>
        <w:tc>
          <w:tcPr>
            <w:tcW w:w="467" w:type="pct"/>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26905885" w14:textId="4DE822A3" w:rsidR="00A55933" w:rsidRPr="00A55933" w:rsidRDefault="00A55933" w:rsidP="00A55933">
            <w:pPr>
              <w:spacing w:after="0"/>
              <w:jc w:val="center"/>
              <w:rPr>
                <w:rFonts w:eastAsia="Times New Roman" w:cs="Calibri"/>
                <w:b/>
                <w:bCs/>
                <w:color w:val="auto"/>
                <w:sz w:val="16"/>
                <w:szCs w:val="16"/>
                <w:lang w:eastAsia="en-GB"/>
              </w:rPr>
            </w:pPr>
            <w:r w:rsidRPr="00A55933">
              <w:rPr>
                <w:rFonts w:eastAsia="Times New Roman" w:cs="Calibri"/>
                <w:b/>
                <w:bCs/>
                <w:color w:val="auto"/>
                <w:sz w:val="16"/>
                <w:szCs w:val="16"/>
                <w:lang w:eastAsia="en-GB"/>
              </w:rPr>
              <w:t>North Wales</w:t>
            </w:r>
          </w:p>
        </w:tc>
      </w:tr>
      <w:tr w:rsidR="00A55933" w:rsidRPr="00A55933" w14:paraId="2C50FF9C" w14:textId="0AA0B991" w:rsidTr="00A55933">
        <w:trPr>
          <w:trHeight w:val="1219"/>
          <w:jc w:val="center"/>
        </w:trPr>
        <w:tc>
          <w:tcPr>
            <w:tcW w:w="1461" w:type="pct"/>
            <w:shd w:val="clear" w:color="000000" w:fill="FFFFFF"/>
            <w:vAlign w:val="center"/>
            <w:hideMark/>
          </w:tcPr>
          <w:p w14:paraId="00C25FAB"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5241 Electricians and electrical fitters</w:t>
            </w:r>
          </w:p>
        </w:tc>
        <w:tc>
          <w:tcPr>
            <w:tcW w:w="567" w:type="pct"/>
            <w:vMerge w:val="restart"/>
            <w:shd w:val="clear" w:color="000000" w:fill="FFFFFF"/>
            <w:vAlign w:val="center"/>
            <w:hideMark/>
          </w:tcPr>
          <w:p w14:paraId="3BDCE2A9"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Occupation</w:t>
            </w:r>
          </w:p>
        </w:tc>
        <w:tc>
          <w:tcPr>
            <w:tcW w:w="631" w:type="pct"/>
            <w:vMerge w:val="restart"/>
            <w:shd w:val="clear" w:color="auto" w:fill="008C9B" w:themeFill="accent1"/>
            <w:vAlign w:val="center"/>
            <w:hideMark/>
          </w:tcPr>
          <w:p w14:paraId="23F04870" w14:textId="77777777" w:rsidR="00A55933" w:rsidRPr="00A55933" w:rsidRDefault="00A55933" w:rsidP="00A55933">
            <w:pPr>
              <w:spacing w:after="0"/>
              <w:jc w:val="center"/>
              <w:rPr>
                <w:rFonts w:eastAsia="Times New Roman" w:cs="Arial"/>
                <w:b/>
                <w:bCs/>
                <w:color w:val="auto"/>
                <w:sz w:val="16"/>
                <w:szCs w:val="16"/>
                <w:lang w:eastAsia="en-GB"/>
              </w:rPr>
            </w:pPr>
            <w:r w:rsidRPr="00A55933">
              <w:rPr>
                <w:rFonts w:eastAsia="Times New Roman" w:cs="Arial"/>
                <w:b/>
                <w:bCs/>
                <w:color w:val="FFFFFF" w:themeColor="background1"/>
                <w:sz w:val="16"/>
                <w:szCs w:val="16"/>
                <w:lang w:eastAsia="en-GB"/>
              </w:rPr>
              <w:t>Direct</w:t>
            </w:r>
          </w:p>
        </w:tc>
        <w:tc>
          <w:tcPr>
            <w:tcW w:w="468" w:type="pct"/>
            <w:tcBorders>
              <w:top w:val="nil"/>
              <w:left w:val="nil"/>
              <w:bottom w:val="single" w:sz="8" w:space="0" w:color="auto"/>
              <w:right w:val="single" w:sz="8" w:space="0" w:color="auto"/>
            </w:tcBorders>
            <w:shd w:val="clear" w:color="000000" w:fill="FFFFFF"/>
            <w:vAlign w:val="center"/>
            <w:hideMark/>
          </w:tcPr>
          <w:p w14:paraId="5417A3DD" w14:textId="530DF9EB"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9,037</w:t>
            </w:r>
          </w:p>
        </w:tc>
        <w:tc>
          <w:tcPr>
            <w:tcW w:w="470" w:type="pct"/>
            <w:tcBorders>
              <w:top w:val="nil"/>
              <w:left w:val="nil"/>
              <w:bottom w:val="single" w:sz="8" w:space="0" w:color="auto"/>
              <w:right w:val="single" w:sz="8" w:space="0" w:color="auto"/>
            </w:tcBorders>
            <w:shd w:val="clear" w:color="000000" w:fill="D0CECE"/>
            <w:vAlign w:val="center"/>
            <w:hideMark/>
          </w:tcPr>
          <w:p w14:paraId="29F63173" w14:textId="5A398529"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Arial"/>
                <w:color w:val="000000" w:themeColor="text1"/>
                <w:sz w:val="16"/>
                <w:szCs w:val="16"/>
              </w:rPr>
              <w:t>4,713</w:t>
            </w:r>
          </w:p>
        </w:tc>
        <w:tc>
          <w:tcPr>
            <w:tcW w:w="468" w:type="pct"/>
            <w:tcBorders>
              <w:top w:val="single" w:sz="8" w:space="0" w:color="auto"/>
              <w:left w:val="nil"/>
              <w:bottom w:val="single" w:sz="8" w:space="0" w:color="auto"/>
              <w:right w:val="single" w:sz="8" w:space="0" w:color="auto"/>
            </w:tcBorders>
            <w:shd w:val="clear" w:color="000000" w:fill="D0CECE"/>
            <w:vAlign w:val="center"/>
            <w:hideMark/>
          </w:tcPr>
          <w:p w14:paraId="64D3CC49" w14:textId="6BB65919"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1,013</w:t>
            </w:r>
          </w:p>
        </w:tc>
        <w:tc>
          <w:tcPr>
            <w:tcW w:w="468" w:type="pct"/>
            <w:tcBorders>
              <w:top w:val="single" w:sz="8" w:space="0" w:color="auto"/>
              <w:left w:val="nil"/>
              <w:bottom w:val="single" w:sz="8" w:space="0" w:color="auto"/>
              <w:right w:val="single" w:sz="8" w:space="0" w:color="auto"/>
            </w:tcBorders>
            <w:shd w:val="clear" w:color="000000" w:fill="D0CECE"/>
            <w:vAlign w:val="center"/>
          </w:tcPr>
          <w:p w14:paraId="5FF5C8D4" w14:textId="15E6BA9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456</w:t>
            </w:r>
          </w:p>
        </w:tc>
        <w:tc>
          <w:tcPr>
            <w:tcW w:w="467" w:type="pct"/>
            <w:tcBorders>
              <w:top w:val="single" w:sz="8" w:space="0" w:color="auto"/>
              <w:left w:val="nil"/>
              <w:bottom w:val="single" w:sz="8" w:space="0" w:color="auto"/>
              <w:right w:val="single" w:sz="8" w:space="0" w:color="auto"/>
            </w:tcBorders>
            <w:shd w:val="clear" w:color="000000" w:fill="D0CECE"/>
            <w:vAlign w:val="center"/>
          </w:tcPr>
          <w:p w14:paraId="52FB9B95" w14:textId="4D8500C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2,855</w:t>
            </w:r>
          </w:p>
        </w:tc>
      </w:tr>
      <w:tr w:rsidR="00A55933" w:rsidRPr="00A55933" w14:paraId="2D4C1A0A" w14:textId="198C8DE8" w:rsidTr="00A55933">
        <w:trPr>
          <w:trHeight w:val="1219"/>
          <w:jc w:val="center"/>
        </w:trPr>
        <w:tc>
          <w:tcPr>
            <w:tcW w:w="1461" w:type="pct"/>
            <w:shd w:val="clear" w:color="000000" w:fill="FFFFFF"/>
            <w:vAlign w:val="center"/>
            <w:hideMark/>
          </w:tcPr>
          <w:p w14:paraId="3A6ADD83"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5314 Roofers, roof tilers and slaters</w:t>
            </w:r>
          </w:p>
        </w:tc>
        <w:tc>
          <w:tcPr>
            <w:tcW w:w="567" w:type="pct"/>
            <w:vMerge/>
            <w:vAlign w:val="center"/>
            <w:hideMark/>
          </w:tcPr>
          <w:p w14:paraId="30C0BC43"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008C9B" w:themeFill="accent1"/>
            <w:vAlign w:val="center"/>
            <w:hideMark/>
          </w:tcPr>
          <w:p w14:paraId="6D032FBA"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2E4AE729" w14:textId="6870A37C"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459</w:t>
            </w:r>
          </w:p>
        </w:tc>
        <w:tc>
          <w:tcPr>
            <w:tcW w:w="470" w:type="pct"/>
            <w:tcBorders>
              <w:top w:val="nil"/>
              <w:left w:val="nil"/>
              <w:bottom w:val="single" w:sz="8" w:space="0" w:color="auto"/>
              <w:right w:val="single" w:sz="8" w:space="0" w:color="auto"/>
            </w:tcBorders>
            <w:shd w:val="clear" w:color="000000" w:fill="D0CECE"/>
            <w:vAlign w:val="center"/>
            <w:hideMark/>
          </w:tcPr>
          <w:p w14:paraId="0A92DBA7" w14:textId="68190B97"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Arial"/>
                <w:color w:val="000000" w:themeColor="text1"/>
                <w:sz w:val="16"/>
                <w:szCs w:val="16"/>
              </w:rPr>
              <w:t>255</w:t>
            </w:r>
          </w:p>
        </w:tc>
        <w:tc>
          <w:tcPr>
            <w:tcW w:w="468" w:type="pct"/>
            <w:tcBorders>
              <w:top w:val="nil"/>
              <w:left w:val="nil"/>
              <w:bottom w:val="single" w:sz="8" w:space="0" w:color="auto"/>
              <w:right w:val="single" w:sz="8" w:space="0" w:color="auto"/>
            </w:tcBorders>
            <w:shd w:val="clear" w:color="000000" w:fill="D0CECE"/>
            <w:vAlign w:val="center"/>
            <w:hideMark/>
          </w:tcPr>
          <w:p w14:paraId="3F013B48" w14:textId="298D8C3A"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53</w:t>
            </w:r>
          </w:p>
        </w:tc>
        <w:tc>
          <w:tcPr>
            <w:tcW w:w="468" w:type="pct"/>
            <w:tcBorders>
              <w:top w:val="nil"/>
              <w:left w:val="nil"/>
              <w:bottom w:val="single" w:sz="8" w:space="0" w:color="auto"/>
              <w:right w:val="single" w:sz="8" w:space="0" w:color="auto"/>
            </w:tcBorders>
            <w:vAlign w:val="center"/>
          </w:tcPr>
          <w:p w14:paraId="230DDC78" w14:textId="3649439E"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50</w:t>
            </w:r>
          </w:p>
        </w:tc>
        <w:tc>
          <w:tcPr>
            <w:tcW w:w="467" w:type="pct"/>
            <w:tcBorders>
              <w:top w:val="nil"/>
              <w:left w:val="nil"/>
              <w:bottom w:val="single" w:sz="8" w:space="0" w:color="auto"/>
              <w:right w:val="single" w:sz="8" w:space="0" w:color="auto"/>
            </w:tcBorders>
            <w:shd w:val="clear" w:color="000000" w:fill="D0CECE"/>
            <w:vAlign w:val="center"/>
          </w:tcPr>
          <w:p w14:paraId="402CAA8A" w14:textId="33B3E73B"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101</w:t>
            </w:r>
          </w:p>
        </w:tc>
      </w:tr>
      <w:tr w:rsidR="00A55933" w:rsidRPr="00A55933" w14:paraId="5F9535DB" w14:textId="0C973EE3" w:rsidTr="00A55933">
        <w:trPr>
          <w:trHeight w:val="1219"/>
          <w:jc w:val="center"/>
        </w:trPr>
        <w:tc>
          <w:tcPr>
            <w:tcW w:w="1461" w:type="pct"/>
            <w:shd w:val="clear" w:color="000000" w:fill="FFFFFF"/>
            <w:vAlign w:val="center"/>
            <w:hideMark/>
          </w:tcPr>
          <w:p w14:paraId="5B8FC627"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5315 Plumbers &amp; heating and ventilating installers and repairers</w:t>
            </w:r>
          </w:p>
        </w:tc>
        <w:tc>
          <w:tcPr>
            <w:tcW w:w="567" w:type="pct"/>
            <w:vMerge/>
            <w:vAlign w:val="center"/>
            <w:hideMark/>
          </w:tcPr>
          <w:p w14:paraId="35B19BD0"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008C9B" w:themeFill="accent1"/>
            <w:vAlign w:val="center"/>
            <w:hideMark/>
          </w:tcPr>
          <w:p w14:paraId="79B345A3"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FFFFFF"/>
            <w:vAlign w:val="center"/>
            <w:hideMark/>
          </w:tcPr>
          <w:p w14:paraId="6D837E91" w14:textId="7435650B"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2</w:t>
            </w:r>
            <w:r w:rsidR="007772F8" w:rsidRPr="007772F8">
              <w:rPr>
                <w:rFonts w:cs="Arial"/>
                <w:color w:val="000000" w:themeColor="text1"/>
                <w:sz w:val="16"/>
                <w:szCs w:val="16"/>
              </w:rPr>
              <w:t>,</w:t>
            </w:r>
            <w:r w:rsidRPr="007772F8">
              <w:rPr>
                <w:rFonts w:cs="Arial"/>
                <w:color w:val="000000" w:themeColor="text1"/>
                <w:sz w:val="16"/>
                <w:szCs w:val="16"/>
              </w:rPr>
              <w:t>196</w:t>
            </w:r>
          </w:p>
        </w:tc>
        <w:tc>
          <w:tcPr>
            <w:tcW w:w="470" w:type="pct"/>
            <w:tcBorders>
              <w:top w:val="nil"/>
              <w:left w:val="nil"/>
              <w:bottom w:val="single" w:sz="8" w:space="0" w:color="auto"/>
              <w:right w:val="single" w:sz="8" w:space="0" w:color="auto"/>
            </w:tcBorders>
            <w:shd w:val="clear" w:color="000000" w:fill="D0CECE"/>
            <w:vAlign w:val="center"/>
            <w:hideMark/>
          </w:tcPr>
          <w:p w14:paraId="689B605B" w14:textId="3F7255B3"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Arial"/>
                <w:color w:val="000000" w:themeColor="text1"/>
                <w:sz w:val="16"/>
                <w:szCs w:val="16"/>
              </w:rPr>
              <w:t>1</w:t>
            </w:r>
            <w:r w:rsidR="007772F8" w:rsidRPr="007772F8">
              <w:rPr>
                <w:rFonts w:cs="Arial"/>
                <w:color w:val="000000" w:themeColor="text1"/>
                <w:sz w:val="16"/>
                <w:szCs w:val="16"/>
              </w:rPr>
              <w:t>,</w:t>
            </w:r>
            <w:r w:rsidRPr="007772F8">
              <w:rPr>
                <w:rFonts w:cs="Arial"/>
                <w:color w:val="000000" w:themeColor="text1"/>
                <w:sz w:val="16"/>
                <w:szCs w:val="16"/>
              </w:rPr>
              <w:t>219</w:t>
            </w:r>
          </w:p>
        </w:tc>
        <w:tc>
          <w:tcPr>
            <w:tcW w:w="468" w:type="pct"/>
            <w:tcBorders>
              <w:top w:val="nil"/>
              <w:left w:val="nil"/>
              <w:bottom w:val="single" w:sz="8" w:space="0" w:color="auto"/>
              <w:right w:val="single" w:sz="8" w:space="0" w:color="auto"/>
            </w:tcBorders>
            <w:shd w:val="clear" w:color="000000" w:fill="D0CECE"/>
            <w:vAlign w:val="center"/>
            <w:hideMark/>
          </w:tcPr>
          <w:p w14:paraId="2BCC819D" w14:textId="20633EAF"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256</w:t>
            </w:r>
          </w:p>
        </w:tc>
        <w:tc>
          <w:tcPr>
            <w:tcW w:w="468" w:type="pct"/>
            <w:tcBorders>
              <w:top w:val="nil"/>
              <w:left w:val="nil"/>
              <w:bottom w:val="single" w:sz="8" w:space="0" w:color="auto"/>
              <w:right w:val="single" w:sz="8" w:space="0" w:color="auto"/>
            </w:tcBorders>
            <w:vAlign w:val="center"/>
          </w:tcPr>
          <w:p w14:paraId="696E4858" w14:textId="1A6893F2"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237</w:t>
            </w:r>
          </w:p>
        </w:tc>
        <w:tc>
          <w:tcPr>
            <w:tcW w:w="467" w:type="pct"/>
            <w:tcBorders>
              <w:top w:val="nil"/>
              <w:left w:val="nil"/>
              <w:bottom w:val="single" w:sz="8" w:space="0" w:color="auto"/>
              <w:right w:val="single" w:sz="8" w:space="0" w:color="auto"/>
            </w:tcBorders>
            <w:shd w:val="clear" w:color="000000" w:fill="D0CECE"/>
            <w:vAlign w:val="center"/>
          </w:tcPr>
          <w:p w14:paraId="21543A45" w14:textId="3900729F"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484</w:t>
            </w:r>
          </w:p>
        </w:tc>
      </w:tr>
      <w:tr w:rsidR="00A55933" w:rsidRPr="00A55933" w14:paraId="19879CAE" w14:textId="374C3E8F" w:rsidTr="00A55933">
        <w:trPr>
          <w:trHeight w:val="1219"/>
          <w:jc w:val="center"/>
        </w:trPr>
        <w:tc>
          <w:tcPr>
            <w:tcW w:w="1461" w:type="pct"/>
            <w:shd w:val="clear" w:color="000000" w:fill="FFFFFF"/>
            <w:vAlign w:val="center"/>
            <w:hideMark/>
          </w:tcPr>
          <w:p w14:paraId="7A3FF9E2"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5317 Glaziers, window fabricators and fitters</w:t>
            </w:r>
          </w:p>
        </w:tc>
        <w:tc>
          <w:tcPr>
            <w:tcW w:w="567" w:type="pct"/>
            <w:vMerge/>
            <w:vAlign w:val="center"/>
            <w:hideMark/>
          </w:tcPr>
          <w:p w14:paraId="03623F74"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008C9B" w:themeFill="accent1"/>
            <w:vAlign w:val="center"/>
            <w:hideMark/>
          </w:tcPr>
          <w:p w14:paraId="6B28EB6D"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single" w:sz="8" w:space="0" w:color="auto"/>
              <w:bottom w:val="single" w:sz="8" w:space="0" w:color="auto"/>
              <w:right w:val="single" w:sz="8" w:space="0" w:color="auto"/>
            </w:tcBorders>
            <w:shd w:val="clear" w:color="000000" w:fill="D0CECE"/>
            <w:vAlign w:val="center"/>
            <w:hideMark/>
          </w:tcPr>
          <w:p w14:paraId="1BDCADD6" w14:textId="204E93DD" w:rsidR="00A55933" w:rsidRPr="007772F8" w:rsidRDefault="00A55933" w:rsidP="00A55933">
            <w:pPr>
              <w:spacing w:after="0"/>
              <w:jc w:val="center"/>
              <w:rPr>
                <w:rFonts w:eastAsia="Times New Roman" w:cs="Arial"/>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127</w:t>
            </w:r>
          </w:p>
        </w:tc>
        <w:tc>
          <w:tcPr>
            <w:tcW w:w="470" w:type="pct"/>
            <w:tcBorders>
              <w:top w:val="nil"/>
              <w:left w:val="nil"/>
              <w:bottom w:val="single" w:sz="8" w:space="0" w:color="auto"/>
              <w:right w:val="single" w:sz="8" w:space="0" w:color="auto"/>
            </w:tcBorders>
            <w:shd w:val="clear" w:color="000000" w:fill="D0CECE"/>
            <w:vAlign w:val="center"/>
            <w:hideMark/>
          </w:tcPr>
          <w:p w14:paraId="7C059A51" w14:textId="2BBEBFF8"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626</w:t>
            </w:r>
          </w:p>
        </w:tc>
        <w:tc>
          <w:tcPr>
            <w:tcW w:w="468" w:type="pct"/>
            <w:tcBorders>
              <w:top w:val="nil"/>
              <w:left w:val="nil"/>
              <w:bottom w:val="single" w:sz="8" w:space="0" w:color="auto"/>
              <w:right w:val="single" w:sz="8" w:space="0" w:color="auto"/>
            </w:tcBorders>
            <w:shd w:val="clear" w:color="000000" w:fill="D0CECE"/>
            <w:vAlign w:val="center"/>
            <w:hideMark/>
          </w:tcPr>
          <w:p w14:paraId="7DFE22BD" w14:textId="136429B8"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131</w:t>
            </w:r>
          </w:p>
        </w:tc>
        <w:tc>
          <w:tcPr>
            <w:tcW w:w="468" w:type="pct"/>
            <w:tcBorders>
              <w:top w:val="nil"/>
              <w:left w:val="nil"/>
              <w:bottom w:val="single" w:sz="8" w:space="0" w:color="auto"/>
              <w:right w:val="single" w:sz="8" w:space="0" w:color="auto"/>
            </w:tcBorders>
            <w:vAlign w:val="center"/>
          </w:tcPr>
          <w:p w14:paraId="4141A3FC" w14:textId="04A128DA"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122</w:t>
            </w:r>
          </w:p>
        </w:tc>
        <w:tc>
          <w:tcPr>
            <w:tcW w:w="467" w:type="pct"/>
            <w:tcBorders>
              <w:top w:val="nil"/>
              <w:left w:val="nil"/>
              <w:bottom w:val="single" w:sz="8" w:space="0" w:color="auto"/>
              <w:right w:val="single" w:sz="8" w:space="0" w:color="auto"/>
            </w:tcBorders>
            <w:shd w:val="clear" w:color="000000" w:fill="D0CECE"/>
            <w:vAlign w:val="center"/>
          </w:tcPr>
          <w:p w14:paraId="0308D775" w14:textId="35A8DEBB"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248</w:t>
            </w:r>
          </w:p>
        </w:tc>
      </w:tr>
      <w:tr w:rsidR="00A55933" w:rsidRPr="00A55933" w14:paraId="3E48958C" w14:textId="053E5F60" w:rsidTr="00A55933">
        <w:trPr>
          <w:trHeight w:val="1219"/>
          <w:jc w:val="center"/>
        </w:trPr>
        <w:tc>
          <w:tcPr>
            <w:tcW w:w="1461" w:type="pct"/>
            <w:shd w:val="clear" w:color="000000" w:fill="FFFFFF"/>
            <w:vAlign w:val="center"/>
            <w:hideMark/>
          </w:tcPr>
          <w:p w14:paraId="029287F8"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5319 Construction and building trades n.e.c.</w:t>
            </w:r>
          </w:p>
        </w:tc>
        <w:tc>
          <w:tcPr>
            <w:tcW w:w="567" w:type="pct"/>
            <w:vMerge/>
            <w:vAlign w:val="center"/>
            <w:hideMark/>
          </w:tcPr>
          <w:p w14:paraId="4A76F6E1"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008C9B" w:themeFill="accent1"/>
            <w:vAlign w:val="center"/>
            <w:hideMark/>
          </w:tcPr>
          <w:p w14:paraId="50EA0203"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FFFFFF"/>
            <w:vAlign w:val="center"/>
            <w:hideMark/>
          </w:tcPr>
          <w:p w14:paraId="3C5C09A0" w14:textId="018B44FA"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10</w:t>
            </w:r>
            <w:r w:rsidR="007772F8" w:rsidRPr="007772F8">
              <w:rPr>
                <w:rFonts w:cs="Arial"/>
                <w:color w:val="000000" w:themeColor="text1"/>
                <w:sz w:val="16"/>
                <w:szCs w:val="16"/>
              </w:rPr>
              <w:t>,</w:t>
            </w:r>
            <w:r w:rsidRPr="007772F8">
              <w:rPr>
                <w:rFonts w:cs="Arial"/>
                <w:color w:val="000000" w:themeColor="text1"/>
                <w:sz w:val="16"/>
                <w:szCs w:val="16"/>
              </w:rPr>
              <w:t>772</w:t>
            </w:r>
          </w:p>
        </w:tc>
        <w:tc>
          <w:tcPr>
            <w:tcW w:w="470" w:type="pct"/>
            <w:tcBorders>
              <w:top w:val="nil"/>
              <w:left w:val="nil"/>
              <w:bottom w:val="single" w:sz="8" w:space="0" w:color="auto"/>
              <w:right w:val="single" w:sz="8" w:space="0" w:color="auto"/>
            </w:tcBorders>
            <w:shd w:val="clear" w:color="000000" w:fill="D0CECE"/>
            <w:vAlign w:val="center"/>
            <w:hideMark/>
          </w:tcPr>
          <w:p w14:paraId="31EA257A" w14:textId="56E1ED6E"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5</w:t>
            </w:r>
            <w:r w:rsidR="007772F8" w:rsidRPr="007772F8">
              <w:rPr>
                <w:rFonts w:cs="Calibri"/>
                <w:color w:val="000000" w:themeColor="text1"/>
                <w:sz w:val="16"/>
                <w:szCs w:val="16"/>
              </w:rPr>
              <w:t>,</w:t>
            </w:r>
            <w:r w:rsidRPr="007772F8">
              <w:rPr>
                <w:rFonts w:cs="Calibri"/>
                <w:color w:val="000000" w:themeColor="text1"/>
                <w:sz w:val="16"/>
                <w:szCs w:val="16"/>
              </w:rPr>
              <w:t>979</w:t>
            </w:r>
          </w:p>
        </w:tc>
        <w:tc>
          <w:tcPr>
            <w:tcW w:w="468" w:type="pct"/>
            <w:tcBorders>
              <w:top w:val="nil"/>
              <w:left w:val="nil"/>
              <w:bottom w:val="single" w:sz="8" w:space="0" w:color="auto"/>
              <w:right w:val="single" w:sz="8" w:space="0" w:color="auto"/>
            </w:tcBorders>
            <w:shd w:val="clear" w:color="000000" w:fill="D0CECE"/>
            <w:vAlign w:val="center"/>
            <w:hideMark/>
          </w:tcPr>
          <w:p w14:paraId="7EAC97CD" w14:textId="345E8129"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254</w:t>
            </w:r>
          </w:p>
        </w:tc>
        <w:tc>
          <w:tcPr>
            <w:tcW w:w="468" w:type="pct"/>
            <w:tcBorders>
              <w:top w:val="nil"/>
              <w:left w:val="nil"/>
              <w:bottom w:val="single" w:sz="8" w:space="0" w:color="auto"/>
              <w:right w:val="single" w:sz="8" w:space="0" w:color="auto"/>
            </w:tcBorders>
            <w:vAlign w:val="center"/>
          </w:tcPr>
          <w:p w14:paraId="4E39B0CF" w14:textId="62D50841"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165</w:t>
            </w:r>
          </w:p>
        </w:tc>
        <w:tc>
          <w:tcPr>
            <w:tcW w:w="467" w:type="pct"/>
            <w:tcBorders>
              <w:top w:val="nil"/>
              <w:left w:val="nil"/>
              <w:bottom w:val="single" w:sz="8" w:space="0" w:color="auto"/>
              <w:right w:val="single" w:sz="8" w:space="0" w:color="auto"/>
            </w:tcBorders>
            <w:shd w:val="clear" w:color="000000" w:fill="D0CECE"/>
            <w:vAlign w:val="center"/>
          </w:tcPr>
          <w:p w14:paraId="44DD9E60" w14:textId="288DCBE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w:t>
            </w:r>
            <w:r w:rsidR="007772F8" w:rsidRPr="007772F8">
              <w:rPr>
                <w:rFonts w:cs="Calibri"/>
                <w:color w:val="000000" w:themeColor="text1"/>
                <w:sz w:val="16"/>
                <w:szCs w:val="16"/>
              </w:rPr>
              <w:t>,</w:t>
            </w:r>
            <w:r w:rsidRPr="007772F8">
              <w:rPr>
                <w:rFonts w:cs="Calibri"/>
                <w:color w:val="000000" w:themeColor="text1"/>
                <w:sz w:val="16"/>
                <w:szCs w:val="16"/>
              </w:rPr>
              <w:t>374</w:t>
            </w:r>
          </w:p>
        </w:tc>
      </w:tr>
      <w:tr w:rsidR="00A55933" w:rsidRPr="00A55933" w14:paraId="3E9D72DB" w14:textId="051191B3" w:rsidTr="00A55933">
        <w:trPr>
          <w:trHeight w:val="1219"/>
          <w:jc w:val="center"/>
        </w:trPr>
        <w:tc>
          <w:tcPr>
            <w:tcW w:w="1461" w:type="pct"/>
            <w:shd w:val="clear" w:color="000000" w:fill="FFFFFF"/>
            <w:vAlign w:val="center"/>
            <w:hideMark/>
          </w:tcPr>
          <w:p w14:paraId="019E024A"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5313 Bricklayers</w:t>
            </w:r>
          </w:p>
        </w:tc>
        <w:tc>
          <w:tcPr>
            <w:tcW w:w="567" w:type="pct"/>
            <w:vMerge/>
            <w:vAlign w:val="center"/>
            <w:hideMark/>
          </w:tcPr>
          <w:p w14:paraId="25CA8FF9" w14:textId="77777777" w:rsidR="00A55933" w:rsidRPr="00A55933" w:rsidRDefault="00A55933" w:rsidP="00A55933">
            <w:pPr>
              <w:spacing w:after="0"/>
              <w:rPr>
                <w:rFonts w:eastAsia="Times New Roman" w:cs="Arial"/>
                <w:color w:val="auto"/>
                <w:sz w:val="16"/>
                <w:szCs w:val="16"/>
                <w:lang w:eastAsia="en-GB"/>
              </w:rPr>
            </w:pPr>
          </w:p>
        </w:tc>
        <w:tc>
          <w:tcPr>
            <w:tcW w:w="631" w:type="pct"/>
            <w:vMerge w:val="restart"/>
            <w:shd w:val="clear" w:color="auto" w:fill="2AEAFF" w:themeFill="accent1" w:themeFillTint="99"/>
            <w:vAlign w:val="center"/>
            <w:hideMark/>
          </w:tcPr>
          <w:p w14:paraId="67021B0C" w14:textId="77777777" w:rsidR="00A55933" w:rsidRPr="00A55933" w:rsidRDefault="00A55933" w:rsidP="00A55933">
            <w:pPr>
              <w:spacing w:after="0"/>
              <w:jc w:val="center"/>
              <w:rPr>
                <w:rFonts w:eastAsia="Times New Roman" w:cs="Arial"/>
                <w:b/>
                <w:bCs/>
                <w:color w:val="auto"/>
                <w:sz w:val="16"/>
                <w:szCs w:val="16"/>
                <w:lang w:eastAsia="en-GB"/>
              </w:rPr>
            </w:pPr>
            <w:r w:rsidRPr="00A55933">
              <w:rPr>
                <w:rFonts w:eastAsia="Times New Roman" w:cs="Arial"/>
                <w:b/>
                <w:bCs/>
                <w:color w:val="auto"/>
                <w:sz w:val="16"/>
                <w:szCs w:val="16"/>
                <w:lang w:eastAsia="en-GB"/>
              </w:rPr>
              <w:t>Support</w:t>
            </w:r>
          </w:p>
        </w:tc>
        <w:tc>
          <w:tcPr>
            <w:tcW w:w="468" w:type="pct"/>
            <w:tcBorders>
              <w:top w:val="nil"/>
              <w:left w:val="nil"/>
              <w:bottom w:val="single" w:sz="8" w:space="0" w:color="auto"/>
              <w:right w:val="single" w:sz="8" w:space="0" w:color="auto"/>
            </w:tcBorders>
            <w:shd w:val="clear" w:color="000000" w:fill="D0CECE"/>
            <w:vAlign w:val="center"/>
            <w:hideMark/>
          </w:tcPr>
          <w:p w14:paraId="56D48DA9" w14:textId="21AA988E"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2</w:t>
            </w:r>
            <w:r w:rsidR="007772F8" w:rsidRPr="007772F8">
              <w:rPr>
                <w:rFonts w:cs="Arial"/>
                <w:color w:val="000000" w:themeColor="text1"/>
                <w:sz w:val="16"/>
                <w:szCs w:val="16"/>
              </w:rPr>
              <w:t>,</w:t>
            </w:r>
            <w:r w:rsidRPr="007772F8">
              <w:rPr>
                <w:rFonts w:cs="Arial"/>
                <w:color w:val="000000" w:themeColor="text1"/>
                <w:sz w:val="16"/>
                <w:szCs w:val="16"/>
              </w:rPr>
              <w:t>070</w:t>
            </w:r>
          </w:p>
        </w:tc>
        <w:tc>
          <w:tcPr>
            <w:tcW w:w="470" w:type="pct"/>
            <w:tcBorders>
              <w:top w:val="nil"/>
              <w:left w:val="nil"/>
              <w:bottom w:val="single" w:sz="8" w:space="0" w:color="auto"/>
              <w:right w:val="single" w:sz="8" w:space="0" w:color="auto"/>
            </w:tcBorders>
            <w:shd w:val="clear" w:color="000000" w:fill="D0CECE"/>
            <w:vAlign w:val="center"/>
            <w:hideMark/>
          </w:tcPr>
          <w:p w14:paraId="334B7CF0" w14:textId="28AB4B7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11</w:t>
            </w:r>
            <w:r w:rsidR="007772F8" w:rsidRPr="007772F8">
              <w:rPr>
                <w:rFonts w:cs="Calibri"/>
                <w:color w:val="000000" w:themeColor="text1"/>
                <w:sz w:val="16"/>
                <w:szCs w:val="16"/>
              </w:rPr>
              <w:t>,</w:t>
            </w:r>
            <w:r w:rsidRPr="007772F8">
              <w:rPr>
                <w:rFonts w:cs="Calibri"/>
                <w:color w:val="000000" w:themeColor="text1"/>
                <w:sz w:val="16"/>
                <w:szCs w:val="16"/>
              </w:rPr>
              <w:t>49</w:t>
            </w:r>
          </w:p>
        </w:tc>
        <w:tc>
          <w:tcPr>
            <w:tcW w:w="468" w:type="pct"/>
            <w:tcBorders>
              <w:top w:val="nil"/>
              <w:left w:val="nil"/>
              <w:bottom w:val="single" w:sz="8" w:space="0" w:color="auto"/>
              <w:right w:val="single" w:sz="8" w:space="0" w:color="auto"/>
            </w:tcBorders>
            <w:shd w:val="clear" w:color="000000" w:fill="D0CECE"/>
            <w:vAlign w:val="center"/>
            <w:hideMark/>
          </w:tcPr>
          <w:p w14:paraId="7204D648" w14:textId="74083B6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241</w:t>
            </w:r>
          </w:p>
        </w:tc>
        <w:tc>
          <w:tcPr>
            <w:tcW w:w="468" w:type="pct"/>
            <w:tcBorders>
              <w:top w:val="nil"/>
              <w:left w:val="nil"/>
              <w:bottom w:val="single" w:sz="8" w:space="0" w:color="auto"/>
              <w:right w:val="single" w:sz="8" w:space="0" w:color="auto"/>
            </w:tcBorders>
            <w:vAlign w:val="center"/>
          </w:tcPr>
          <w:p w14:paraId="50F7316C" w14:textId="7ADCB822"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224</w:t>
            </w:r>
          </w:p>
        </w:tc>
        <w:tc>
          <w:tcPr>
            <w:tcW w:w="467" w:type="pct"/>
            <w:tcBorders>
              <w:top w:val="nil"/>
              <w:left w:val="nil"/>
              <w:bottom w:val="single" w:sz="8" w:space="0" w:color="auto"/>
              <w:right w:val="single" w:sz="8" w:space="0" w:color="auto"/>
            </w:tcBorders>
            <w:shd w:val="clear" w:color="000000" w:fill="D0CECE"/>
            <w:vAlign w:val="center"/>
          </w:tcPr>
          <w:p w14:paraId="0E0F3980" w14:textId="0090F428"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456</w:t>
            </w:r>
          </w:p>
        </w:tc>
      </w:tr>
      <w:tr w:rsidR="00A55933" w:rsidRPr="00A55933" w14:paraId="5D5DE405" w14:textId="791DA330" w:rsidTr="00A55933">
        <w:trPr>
          <w:trHeight w:val="1219"/>
          <w:jc w:val="center"/>
        </w:trPr>
        <w:tc>
          <w:tcPr>
            <w:tcW w:w="1461" w:type="pct"/>
            <w:shd w:val="clear" w:color="000000" w:fill="FFFFFF"/>
            <w:vAlign w:val="center"/>
            <w:hideMark/>
          </w:tcPr>
          <w:p w14:paraId="394C0836"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5316 Carpenters and joiners</w:t>
            </w:r>
          </w:p>
        </w:tc>
        <w:tc>
          <w:tcPr>
            <w:tcW w:w="567" w:type="pct"/>
            <w:vMerge/>
            <w:vAlign w:val="center"/>
            <w:hideMark/>
          </w:tcPr>
          <w:p w14:paraId="34E3D27D"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2AEAFF" w:themeFill="accent1" w:themeFillTint="99"/>
            <w:vAlign w:val="center"/>
            <w:hideMark/>
          </w:tcPr>
          <w:p w14:paraId="230EDB35"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FFFFFF"/>
            <w:vAlign w:val="center"/>
            <w:hideMark/>
          </w:tcPr>
          <w:p w14:paraId="0BFC32E9" w14:textId="3662FCFE"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3799</w:t>
            </w:r>
          </w:p>
        </w:tc>
        <w:tc>
          <w:tcPr>
            <w:tcW w:w="470" w:type="pct"/>
            <w:tcBorders>
              <w:top w:val="nil"/>
              <w:left w:val="nil"/>
              <w:bottom w:val="single" w:sz="8" w:space="0" w:color="auto"/>
              <w:right w:val="single" w:sz="8" w:space="0" w:color="auto"/>
            </w:tcBorders>
            <w:shd w:val="clear" w:color="000000" w:fill="D0CECE"/>
            <w:vAlign w:val="center"/>
            <w:hideMark/>
          </w:tcPr>
          <w:p w14:paraId="6539C007" w14:textId="4E7BD453"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w:t>
            </w:r>
            <w:r w:rsidR="007772F8" w:rsidRPr="007772F8">
              <w:rPr>
                <w:rFonts w:cs="Calibri"/>
                <w:color w:val="000000" w:themeColor="text1"/>
                <w:sz w:val="16"/>
                <w:szCs w:val="16"/>
              </w:rPr>
              <w:t>,</w:t>
            </w:r>
            <w:r w:rsidRPr="007772F8">
              <w:rPr>
                <w:rFonts w:cs="Calibri"/>
                <w:color w:val="000000" w:themeColor="text1"/>
                <w:sz w:val="16"/>
                <w:szCs w:val="16"/>
              </w:rPr>
              <w:t>109</w:t>
            </w:r>
          </w:p>
        </w:tc>
        <w:tc>
          <w:tcPr>
            <w:tcW w:w="468" w:type="pct"/>
            <w:tcBorders>
              <w:top w:val="nil"/>
              <w:left w:val="nil"/>
              <w:bottom w:val="single" w:sz="8" w:space="0" w:color="auto"/>
              <w:right w:val="single" w:sz="8" w:space="0" w:color="auto"/>
            </w:tcBorders>
            <w:shd w:val="clear" w:color="000000" w:fill="D0CECE"/>
            <w:vAlign w:val="center"/>
            <w:hideMark/>
          </w:tcPr>
          <w:p w14:paraId="7388ACE6" w14:textId="741A1F74"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442</w:t>
            </w:r>
          </w:p>
        </w:tc>
        <w:tc>
          <w:tcPr>
            <w:tcW w:w="468" w:type="pct"/>
            <w:tcBorders>
              <w:top w:val="nil"/>
              <w:left w:val="nil"/>
              <w:bottom w:val="single" w:sz="8" w:space="0" w:color="auto"/>
              <w:right w:val="single" w:sz="8" w:space="0" w:color="auto"/>
            </w:tcBorders>
            <w:vAlign w:val="center"/>
          </w:tcPr>
          <w:p w14:paraId="65F4D466" w14:textId="29359EFA"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411</w:t>
            </w:r>
          </w:p>
        </w:tc>
        <w:tc>
          <w:tcPr>
            <w:tcW w:w="467" w:type="pct"/>
            <w:tcBorders>
              <w:top w:val="nil"/>
              <w:left w:val="nil"/>
              <w:bottom w:val="single" w:sz="8" w:space="0" w:color="auto"/>
              <w:right w:val="single" w:sz="8" w:space="0" w:color="auto"/>
            </w:tcBorders>
            <w:shd w:val="clear" w:color="000000" w:fill="D0CECE"/>
            <w:vAlign w:val="center"/>
          </w:tcPr>
          <w:p w14:paraId="010A516B" w14:textId="09209DC9"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837</w:t>
            </w:r>
          </w:p>
        </w:tc>
      </w:tr>
      <w:tr w:rsidR="00A55933" w:rsidRPr="00A55933" w14:paraId="5C16F09F" w14:textId="03E2156B" w:rsidTr="00A55933">
        <w:trPr>
          <w:trHeight w:val="1219"/>
          <w:jc w:val="center"/>
        </w:trPr>
        <w:tc>
          <w:tcPr>
            <w:tcW w:w="1461" w:type="pct"/>
            <w:shd w:val="clear" w:color="000000" w:fill="FFFFFF"/>
            <w:vAlign w:val="center"/>
            <w:hideMark/>
          </w:tcPr>
          <w:p w14:paraId="76018661"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lastRenderedPageBreak/>
              <w:t>5321 Plasterers</w:t>
            </w:r>
          </w:p>
        </w:tc>
        <w:tc>
          <w:tcPr>
            <w:tcW w:w="567" w:type="pct"/>
            <w:vMerge/>
            <w:vAlign w:val="center"/>
            <w:hideMark/>
          </w:tcPr>
          <w:p w14:paraId="338D2D07"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2AEAFF" w:themeFill="accent1" w:themeFillTint="99"/>
            <w:vAlign w:val="center"/>
            <w:hideMark/>
          </w:tcPr>
          <w:p w14:paraId="4A052DB3"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43B702CB" w14:textId="1076B135"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3</w:t>
            </w:r>
            <w:r w:rsidR="007772F8" w:rsidRPr="007772F8">
              <w:rPr>
                <w:rFonts w:cs="Arial"/>
                <w:color w:val="000000" w:themeColor="text1"/>
                <w:sz w:val="16"/>
                <w:szCs w:val="16"/>
              </w:rPr>
              <w:t>,</w:t>
            </w:r>
            <w:r w:rsidRPr="007772F8">
              <w:rPr>
                <w:rFonts w:cs="Arial"/>
                <w:color w:val="000000" w:themeColor="text1"/>
                <w:sz w:val="16"/>
                <w:szCs w:val="16"/>
              </w:rPr>
              <w:t>413</w:t>
            </w:r>
          </w:p>
        </w:tc>
        <w:tc>
          <w:tcPr>
            <w:tcW w:w="470" w:type="pct"/>
            <w:tcBorders>
              <w:top w:val="nil"/>
              <w:left w:val="nil"/>
              <w:bottom w:val="single" w:sz="8" w:space="0" w:color="auto"/>
              <w:right w:val="single" w:sz="8" w:space="0" w:color="auto"/>
            </w:tcBorders>
            <w:shd w:val="clear" w:color="000000" w:fill="D0CECE"/>
            <w:vAlign w:val="center"/>
            <w:hideMark/>
          </w:tcPr>
          <w:p w14:paraId="5EF30C9F" w14:textId="3478EE22"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895</w:t>
            </w:r>
          </w:p>
        </w:tc>
        <w:tc>
          <w:tcPr>
            <w:tcW w:w="468" w:type="pct"/>
            <w:tcBorders>
              <w:top w:val="nil"/>
              <w:left w:val="nil"/>
              <w:bottom w:val="single" w:sz="8" w:space="0" w:color="auto"/>
              <w:right w:val="single" w:sz="8" w:space="0" w:color="auto"/>
            </w:tcBorders>
            <w:shd w:val="clear" w:color="000000" w:fill="D0CECE"/>
            <w:vAlign w:val="center"/>
            <w:hideMark/>
          </w:tcPr>
          <w:p w14:paraId="2D3818AA" w14:textId="1751FB79"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397</w:t>
            </w:r>
          </w:p>
        </w:tc>
        <w:tc>
          <w:tcPr>
            <w:tcW w:w="468" w:type="pct"/>
            <w:tcBorders>
              <w:top w:val="nil"/>
              <w:left w:val="nil"/>
              <w:bottom w:val="single" w:sz="8" w:space="0" w:color="auto"/>
              <w:right w:val="single" w:sz="8" w:space="0" w:color="auto"/>
            </w:tcBorders>
            <w:vAlign w:val="center"/>
          </w:tcPr>
          <w:p w14:paraId="1C85219B" w14:textId="3F290DC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369</w:t>
            </w:r>
          </w:p>
        </w:tc>
        <w:tc>
          <w:tcPr>
            <w:tcW w:w="467" w:type="pct"/>
            <w:tcBorders>
              <w:top w:val="nil"/>
              <w:left w:val="nil"/>
              <w:bottom w:val="single" w:sz="8" w:space="0" w:color="auto"/>
              <w:right w:val="single" w:sz="8" w:space="0" w:color="auto"/>
            </w:tcBorders>
            <w:shd w:val="clear" w:color="000000" w:fill="D0CECE"/>
            <w:vAlign w:val="center"/>
          </w:tcPr>
          <w:p w14:paraId="135C6F69" w14:textId="25034ED6"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752</w:t>
            </w:r>
          </w:p>
        </w:tc>
      </w:tr>
      <w:tr w:rsidR="00A55933" w:rsidRPr="00A55933" w14:paraId="4A7E0302" w14:textId="5C2ABD55" w:rsidTr="00A55933">
        <w:trPr>
          <w:trHeight w:val="1219"/>
          <w:jc w:val="center"/>
        </w:trPr>
        <w:tc>
          <w:tcPr>
            <w:tcW w:w="1461" w:type="pct"/>
            <w:shd w:val="clear" w:color="000000" w:fill="FFFFFF"/>
            <w:vAlign w:val="center"/>
            <w:hideMark/>
          </w:tcPr>
          <w:p w14:paraId="7719ECCF"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5322 Floorers and wall tilers</w:t>
            </w:r>
          </w:p>
        </w:tc>
        <w:tc>
          <w:tcPr>
            <w:tcW w:w="567" w:type="pct"/>
            <w:vMerge/>
            <w:vAlign w:val="center"/>
            <w:hideMark/>
          </w:tcPr>
          <w:p w14:paraId="389EB45D"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2AEAFF" w:themeFill="accent1" w:themeFillTint="99"/>
            <w:vAlign w:val="center"/>
            <w:hideMark/>
          </w:tcPr>
          <w:p w14:paraId="3B7A34AB"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5A4358A4" w14:textId="53A22F8C"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988</w:t>
            </w:r>
          </w:p>
        </w:tc>
        <w:tc>
          <w:tcPr>
            <w:tcW w:w="470" w:type="pct"/>
            <w:tcBorders>
              <w:top w:val="nil"/>
              <w:left w:val="nil"/>
              <w:bottom w:val="single" w:sz="8" w:space="0" w:color="auto"/>
              <w:right w:val="single" w:sz="8" w:space="0" w:color="auto"/>
            </w:tcBorders>
            <w:shd w:val="clear" w:color="000000" w:fill="D0CECE"/>
            <w:vAlign w:val="center"/>
            <w:hideMark/>
          </w:tcPr>
          <w:p w14:paraId="64AC6138" w14:textId="74D9855A"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548</w:t>
            </w:r>
          </w:p>
        </w:tc>
        <w:tc>
          <w:tcPr>
            <w:tcW w:w="468" w:type="pct"/>
            <w:tcBorders>
              <w:top w:val="nil"/>
              <w:left w:val="nil"/>
              <w:bottom w:val="single" w:sz="8" w:space="0" w:color="auto"/>
              <w:right w:val="single" w:sz="8" w:space="0" w:color="auto"/>
            </w:tcBorders>
            <w:shd w:val="clear" w:color="000000" w:fill="D0CECE"/>
            <w:vAlign w:val="center"/>
            <w:hideMark/>
          </w:tcPr>
          <w:p w14:paraId="441A92C9" w14:textId="6FB5AA64"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115</w:t>
            </w:r>
          </w:p>
        </w:tc>
        <w:tc>
          <w:tcPr>
            <w:tcW w:w="468" w:type="pct"/>
            <w:tcBorders>
              <w:top w:val="nil"/>
              <w:left w:val="nil"/>
              <w:bottom w:val="single" w:sz="8" w:space="0" w:color="auto"/>
              <w:right w:val="single" w:sz="8" w:space="0" w:color="auto"/>
            </w:tcBorders>
            <w:vAlign w:val="center"/>
          </w:tcPr>
          <w:p w14:paraId="1B15DE00" w14:textId="2756AA3A"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107</w:t>
            </w:r>
          </w:p>
        </w:tc>
        <w:tc>
          <w:tcPr>
            <w:tcW w:w="467" w:type="pct"/>
            <w:tcBorders>
              <w:top w:val="nil"/>
              <w:left w:val="nil"/>
              <w:bottom w:val="single" w:sz="8" w:space="0" w:color="auto"/>
              <w:right w:val="single" w:sz="8" w:space="0" w:color="auto"/>
            </w:tcBorders>
            <w:shd w:val="clear" w:color="000000" w:fill="D0CECE"/>
            <w:vAlign w:val="center"/>
          </w:tcPr>
          <w:p w14:paraId="6EAE4A90" w14:textId="42CD3C20"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218</w:t>
            </w:r>
          </w:p>
        </w:tc>
      </w:tr>
      <w:tr w:rsidR="00A55933" w:rsidRPr="00A55933" w14:paraId="078E1131" w14:textId="2F6F5CD1" w:rsidTr="00A55933">
        <w:trPr>
          <w:trHeight w:val="1219"/>
          <w:jc w:val="center"/>
        </w:trPr>
        <w:tc>
          <w:tcPr>
            <w:tcW w:w="1461" w:type="pct"/>
            <w:shd w:val="clear" w:color="000000" w:fill="FFFFFF"/>
            <w:vAlign w:val="center"/>
            <w:hideMark/>
          </w:tcPr>
          <w:p w14:paraId="5F464355"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5323 Painters and decorators</w:t>
            </w:r>
          </w:p>
        </w:tc>
        <w:tc>
          <w:tcPr>
            <w:tcW w:w="567" w:type="pct"/>
            <w:vMerge/>
            <w:vAlign w:val="center"/>
            <w:hideMark/>
          </w:tcPr>
          <w:p w14:paraId="25920B64"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2AEAFF" w:themeFill="accent1" w:themeFillTint="99"/>
            <w:vAlign w:val="center"/>
            <w:hideMark/>
          </w:tcPr>
          <w:p w14:paraId="6ECBCA4D"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1B1CD70C" w14:textId="1E546AD1"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2</w:t>
            </w:r>
            <w:r w:rsidR="007772F8" w:rsidRPr="007772F8">
              <w:rPr>
                <w:rFonts w:cs="Arial"/>
                <w:color w:val="000000" w:themeColor="text1"/>
                <w:sz w:val="16"/>
                <w:szCs w:val="16"/>
              </w:rPr>
              <w:t>,</w:t>
            </w:r>
            <w:r w:rsidRPr="007772F8">
              <w:rPr>
                <w:rFonts w:cs="Arial"/>
                <w:color w:val="000000" w:themeColor="text1"/>
                <w:sz w:val="16"/>
                <w:szCs w:val="16"/>
              </w:rPr>
              <w:t>314</w:t>
            </w:r>
          </w:p>
        </w:tc>
        <w:tc>
          <w:tcPr>
            <w:tcW w:w="470" w:type="pct"/>
            <w:tcBorders>
              <w:top w:val="nil"/>
              <w:left w:val="nil"/>
              <w:bottom w:val="single" w:sz="8" w:space="0" w:color="auto"/>
              <w:right w:val="single" w:sz="8" w:space="0" w:color="auto"/>
            </w:tcBorders>
            <w:shd w:val="clear" w:color="000000" w:fill="D0CECE"/>
            <w:vAlign w:val="center"/>
            <w:hideMark/>
          </w:tcPr>
          <w:p w14:paraId="3C72B091" w14:textId="27928CF3"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284</w:t>
            </w:r>
          </w:p>
        </w:tc>
        <w:tc>
          <w:tcPr>
            <w:tcW w:w="468" w:type="pct"/>
            <w:tcBorders>
              <w:top w:val="nil"/>
              <w:left w:val="nil"/>
              <w:bottom w:val="single" w:sz="8" w:space="0" w:color="auto"/>
              <w:right w:val="single" w:sz="8" w:space="0" w:color="auto"/>
            </w:tcBorders>
            <w:shd w:val="clear" w:color="000000" w:fill="D0CECE"/>
            <w:vAlign w:val="center"/>
            <w:hideMark/>
          </w:tcPr>
          <w:p w14:paraId="16EC6FEA" w14:textId="6F449845"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269</w:t>
            </w:r>
          </w:p>
        </w:tc>
        <w:tc>
          <w:tcPr>
            <w:tcW w:w="468" w:type="pct"/>
            <w:tcBorders>
              <w:top w:val="nil"/>
              <w:left w:val="nil"/>
              <w:bottom w:val="single" w:sz="8" w:space="0" w:color="auto"/>
              <w:right w:val="single" w:sz="8" w:space="0" w:color="auto"/>
            </w:tcBorders>
            <w:vAlign w:val="center"/>
          </w:tcPr>
          <w:p w14:paraId="60F9F9F8" w14:textId="35927EA3"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250</w:t>
            </w:r>
          </w:p>
        </w:tc>
        <w:tc>
          <w:tcPr>
            <w:tcW w:w="467" w:type="pct"/>
            <w:tcBorders>
              <w:top w:val="nil"/>
              <w:left w:val="nil"/>
              <w:bottom w:val="single" w:sz="8" w:space="0" w:color="auto"/>
              <w:right w:val="single" w:sz="8" w:space="0" w:color="auto"/>
            </w:tcBorders>
            <w:shd w:val="clear" w:color="000000" w:fill="D0CECE"/>
            <w:vAlign w:val="center"/>
          </w:tcPr>
          <w:p w14:paraId="5E4883FB" w14:textId="5010F886"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510</w:t>
            </w:r>
          </w:p>
        </w:tc>
      </w:tr>
      <w:tr w:rsidR="00A55933" w:rsidRPr="00A55933" w14:paraId="549FC89C" w14:textId="1EFC2E05" w:rsidTr="00A55933">
        <w:trPr>
          <w:trHeight w:val="1219"/>
          <w:jc w:val="center"/>
        </w:trPr>
        <w:tc>
          <w:tcPr>
            <w:tcW w:w="1461" w:type="pct"/>
            <w:shd w:val="clear" w:color="000000" w:fill="FFFFFF"/>
            <w:vAlign w:val="center"/>
            <w:hideMark/>
          </w:tcPr>
          <w:p w14:paraId="70364C94"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9129 Elementary construction occupations n.e.c.</w:t>
            </w:r>
          </w:p>
        </w:tc>
        <w:tc>
          <w:tcPr>
            <w:tcW w:w="567" w:type="pct"/>
            <w:vMerge/>
            <w:vAlign w:val="center"/>
            <w:hideMark/>
          </w:tcPr>
          <w:p w14:paraId="6E24CA6A"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2AEAFF" w:themeFill="accent1" w:themeFillTint="99"/>
            <w:vAlign w:val="center"/>
            <w:hideMark/>
          </w:tcPr>
          <w:p w14:paraId="14764011"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178493E3" w14:textId="3C360285"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3</w:t>
            </w:r>
            <w:r w:rsidR="007772F8" w:rsidRPr="007772F8">
              <w:rPr>
                <w:rFonts w:cs="Arial"/>
                <w:color w:val="000000" w:themeColor="text1"/>
                <w:sz w:val="16"/>
                <w:szCs w:val="16"/>
              </w:rPr>
              <w:t>,</w:t>
            </w:r>
            <w:r w:rsidRPr="007772F8">
              <w:rPr>
                <w:rFonts w:cs="Arial"/>
                <w:color w:val="000000" w:themeColor="text1"/>
                <w:sz w:val="16"/>
                <w:szCs w:val="16"/>
              </w:rPr>
              <w:t>165</w:t>
            </w:r>
          </w:p>
        </w:tc>
        <w:tc>
          <w:tcPr>
            <w:tcW w:w="470" w:type="pct"/>
            <w:tcBorders>
              <w:top w:val="nil"/>
              <w:left w:val="nil"/>
              <w:bottom w:val="single" w:sz="8" w:space="0" w:color="auto"/>
              <w:right w:val="single" w:sz="8" w:space="0" w:color="auto"/>
            </w:tcBorders>
            <w:shd w:val="clear" w:color="000000" w:fill="D0CECE"/>
            <w:vAlign w:val="center"/>
            <w:hideMark/>
          </w:tcPr>
          <w:p w14:paraId="542A186C" w14:textId="7F0B83A7"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081</w:t>
            </w:r>
          </w:p>
        </w:tc>
        <w:tc>
          <w:tcPr>
            <w:tcW w:w="468" w:type="pct"/>
            <w:tcBorders>
              <w:top w:val="nil"/>
              <w:left w:val="nil"/>
              <w:bottom w:val="single" w:sz="8" w:space="0" w:color="auto"/>
              <w:right w:val="single" w:sz="8" w:space="0" w:color="auto"/>
            </w:tcBorders>
            <w:shd w:val="clear" w:color="000000" w:fill="D0CECE"/>
            <w:vAlign w:val="center"/>
            <w:hideMark/>
          </w:tcPr>
          <w:p w14:paraId="6DF7C079" w14:textId="0C29044C"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772</w:t>
            </w:r>
          </w:p>
        </w:tc>
        <w:tc>
          <w:tcPr>
            <w:tcW w:w="468" w:type="pct"/>
            <w:tcBorders>
              <w:top w:val="nil"/>
              <w:left w:val="nil"/>
              <w:bottom w:val="single" w:sz="8" w:space="0" w:color="auto"/>
              <w:right w:val="single" w:sz="8" w:space="0" w:color="auto"/>
            </w:tcBorders>
            <w:shd w:val="clear" w:color="000000" w:fill="D0CECE"/>
            <w:vAlign w:val="center"/>
          </w:tcPr>
          <w:p w14:paraId="6096BE1E" w14:textId="1C967CB4"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289</w:t>
            </w:r>
          </w:p>
        </w:tc>
        <w:tc>
          <w:tcPr>
            <w:tcW w:w="467" w:type="pct"/>
            <w:tcBorders>
              <w:top w:val="nil"/>
              <w:left w:val="nil"/>
              <w:bottom w:val="single" w:sz="8" w:space="0" w:color="auto"/>
              <w:right w:val="single" w:sz="8" w:space="0" w:color="auto"/>
            </w:tcBorders>
            <w:shd w:val="clear" w:color="000000" w:fill="D0CECE"/>
            <w:vAlign w:val="center"/>
          </w:tcPr>
          <w:p w14:paraId="4B7E36A1" w14:textId="77C6879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023</w:t>
            </w:r>
          </w:p>
        </w:tc>
      </w:tr>
      <w:tr w:rsidR="00A55933" w:rsidRPr="00A55933" w14:paraId="44ECDB81" w14:textId="44029CE6" w:rsidTr="00A55933">
        <w:trPr>
          <w:trHeight w:val="1219"/>
          <w:jc w:val="center"/>
        </w:trPr>
        <w:tc>
          <w:tcPr>
            <w:tcW w:w="1461" w:type="pct"/>
            <w:shd w:val="clear" w:color="000000" w:fill="FFFFFF"/>
            <w:vAlign w:val="center"/>
            <w:hideMark/>
          </w:tcPr>
          <w:p w14:paraId="10DFDCD2"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2121 Civil Engineers</w:t>
            </w:r>
          </w:p>
        </w:tc>
        <w:tc>
          <w:tcPr>
            <w:tcW w:w="567" w:type="pct"/>
            <w:vMerge/>
            <w:vAlign w:val="center"/>
            <w:hideMark/>
          </w:tcPr>
          <w:p w14:paraId="77271716" w14:textId="77777777" w:rsidR="00A55933" w:rsidRPr="00A55933" w:rsidRDefault="00A55933" w:rsidP="00A55933">
            <w:pPr>
              <w:spacing w:after="0"/>
              <w:rPr>
                <w:rFonts w:eastAsia="Times New Roman" w:cs="Arial"/>
                <w:color w:val="auto"/>
                <w:sz w:val="16"/>
                <w:szCs w:val="16"/>
                <w:lang w:eastAsia="en-GB"/>
              </w:rPr>
            </w:pPr>
          </w:p>
        </w:tc>
        <w:tc>
          <w:tcPr>
            <w:tcW w:w="631" w:type="pct"/>
            <w:vMerge w:val="restart"/>
            <w:shd w:val="clear" w:color="auto" w:fill="B8F8FF" w:themeFill="text2" w:themeFillTint="33"/>
            <w:vAlign w:val="center"/>
            <w:hideMark/>
          </w:tcPr>
          <w:p w14:paraId="31ADAD0A" w14:textId="77777777" w:rsidR="00A55933" w:rsidRPr="00A55933" w:rsidRDefault="00A55933" w:rsidP="00A55933">
            <w:pPr>
              <w:spacing w:after="0"/>
              <w:jc w:val="center"/>
              <w:rPr>
                <w:rFonts w:eastAsia="Times New Roman" w:cs="Arial"/>
                <w:b/>
                <w:bCs/>
                <w:color w:val="auto"/>
                <w:sz w:val="16"/>
                <w:szCs w:val="16"/>
                <w:lang w:eastAsia="en-GB"/>
              </w:rPr>
            </w:pPr>
            <w:r w:rsidRPr="00A55933">
              <w:rPr>
                <w:rFonts w:eastAsia="Times New Roman" w:cs="Arial"/>
                <w:b/>
                <w:bCs/>
                <w:color w:val="auto"/>
                <w:sz w:val="16"/>
                <w:szCs w:val="16"/>
                <w:lang w:eastAsia="en-GB"/>
              </w:rPr>
              <w:t>Supervisory</w:t>
            </w:r>
          </w:p>
        </w:tc>
        <w:tc>
          <w:tcPr>
            <w:tcW w:w="468" w:type="pct"/>
            <w:tcBorders>
              <w:top w:val="nil"/>
              <w:left w:val="nil"/>
              <w:bottom w:val="single" w:sz="8" w:space="0" w:color="auto"/>
              <w:right w:val="single" w:sz="8" w:space="0" w:color="auto"/>
            </w:tcBorders>
            <w:shd w:val="clear" w:color="000000" w:fill="D0CECE"/>
            <w:vAlign w:val="center"/>
            <w:hideMark/>
          </w:tcPr>
          <w:p w14:paraId="6ED430D2" w14:textId="164D8C3F"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5</w:t>
            </w:r>
            <w:r w:rsidR="007772F8" w:rsidRPr="007772F8">
              <w:rPr>
                <w:rFonts w:cs="Arial"/>
                <w:color w:val="000000" w:themeColor="text1"/>
                <w:sz w:val="16"/>
                <w:szCs w:val="16"/>
              </w:rPr>
              <w:t>,</w:t>
            </w:r>
            <w:r w:rsidRPr="007772F8">
              <w:rPr>
                <w:rFonts w:cs="Arial"/>
                <w:color w:val="000000" w:themeColor="text1"/>
                <w:sz w:val="16"/>
                <w:szCs w:val="16"/>
              </w:rPr>
              <w:t>980</w:t>
            </w:r>
          </w:p>
        </w:tc>
        <w:tc>
          <w:tcPr>
            <w:tcW w:w="470" w:type="pct"/>
            <w:tcBorders>
              <w:top w:val="nil"/>
              <w:left w:val="nil"/>
              <w:bottom w:val="single" w:sz="8" w:space="0" w:color="auto"/>
              <w:right w:val="single" w:sz="8" w:space="0" w:color="auto"/>
            </w:tcBorders>
            <w:shd w:val="clear" w:color="000000" w:fill="808080"/>
            <w:vAlign w:val="center"/>
            <w:hideMark/>
          </w:tcPr>
          <w:p w14:paraId="5D61E079" w14:textId="380A0A41"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w:t>
            </w:r>
            <w:r w:rsidR="007772F8" w:rsidRPr="007772F8">
              <w:rPr>
                <w:rFonts w:cs="Calibri"/>
                <w:color w:val="000000" w:themeColor="text1"/>
                <w:sz w:val="16"/>
                <w:szCs w:val="16"/>
              </w:rPr>
              <w:t>,</w:t>
            </w:r>
            <w:r w:rsidRPr="007772F8">
              <w:rPr>
                <w:rFonts w:cs="Calibri"/>
                <w:color w:val="000000" w:themeColor="text1"/>
                <w:sz w:val="16"/>
                <w:szCs w:val="16"/>
              </w:rPr>
              <w:t>217</w:t>
            </w:r>
          </w:p>
        </w:tc>
        <w:tc>
          <w:tcPr>
            <w:tcW w:w="468" w:type="pct"/>
            <w:tcBorders>
              <w:top w:val="nil"/>
              <w:left w:val="nil"/>
              <w:bottom w:val="single" w:sz="8" w:space="0" w:color="auto"/>
              <w:right w:val="single" w:sz="8" w:space="0" w:color="auto"/>
            </w:tcBorders>
            <w:shd w:val="clear" w:color="000000" w:fill="D0CECE"/>
            <w:vAlign w:val="center"/>
            <w:hideMark/>
          </w:tcPr>
          <w:p w14:paraId="0EED6949" w14:textId="6C73AEF9"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637</w:t>
            </w:r>
          </w:p>
        </w:tc>
        <w:tc>
          <w:tcPr>
            <w:tcW w:w="468" w:type="pct"/>
            <w:tcBorders>
              <w:top w:val="nil"/>
              <w:left w:val="nil"/>
              <w:bottom w:val="single" w:sz="8" w:space="0" w:color="auto"/>
              <w:right w:val="single" w:sz="8" w:space="0" w:color="auto"/>
            </w:tcBorders>
            <w:vAlign w:val="center"/>
          </w:tcPr>
          <w:p w14:paraId="66274A54" w14:textId="2D0C7414"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445</w:t>
            </w:r>
          </w:p>
        </w:tc>
        <w:tc>
          <w:tcPr>
            <w:tcW w:w="467" w:type="pct"/>
            <w:tcBorders>
              <w:top w:val="nil"/>
              <w:left w:val="nil"/>
              <w:bottom w:val="single" w:sz="8" w:space="0" w:color="auto"/>
              <w:right w:val="single" w:sz="8" w:space="0" w:color="auto"/>
            </w:tcBorders>
            <w:shd w:val="clear" w:color="000000" w:fill="D0CECE"/>
            <w:vAlign w:val="center"/>
          </w:tcPr>
          <w:p w14:paraId="3349F84D" w14:textId="74383062"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682</w:t>
            </w:r>
          </w:p>
        </w:tc>
      </w:tr>
      <w:tr w:rsidR="00A55933" w:rsidRPr="00A55933" w14:paraId="3290071D" w14:textId="37C76629" w:rsidTr="00A55933">
        <w:trPr>
          <w:trHeight w:val="1219"/>
          <w:jc w:val="center"/>
        </w:trPr>
        <w:tc>
          <w:tcPr>
            <w:tcW w:w="1461" w:type="pct"/>
            <w:shd w:val="clear" w:color="000000" w:fill="FFFFFF"/>
            <w:vAlign w:val="center"/>
            <w:hideMark/>
          </w:tcPr>
          <w:p w14:paraId="4DADB05D"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2123 Electrical engineers</w:t>
            </w:r>
          </w:p>
        </w:tc>
        <w:tc>
          <w:tcPr>
            <w:tcW w:w="567" w:type="pct"/>
            <w:vMerge/>
            <w:vAlign w:val="center"/>
            <w:hideMark/>
          </w:tcPr>
          <w:p w14:paraId="1B53CB16"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78A2C2A9"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1712CC07" w14:textId="2AA51876"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1</w:t>
            </w:r>
            <w:r w:rsidR="007772F8" w:rsidRPr="007772F8">
              <w:rPr>
                <w:rFonts w:cs="Arial"/>
                <w:color w:val="000000" w:themeColor="text1"/>
                <w:sz w:val="16"/>
                <w:szCs w:val="16"/>
              </w:rPr>
              <w:t>,</w:t>
            </w:r>
            <w:r w:rsidRPr="007772F8">
              <w:rPr>
                <w:rFonts w:cs="Arial"/>
                <w:color w:val="000000" w:themeColor="text1"/>
                <w:sz w:val="16"/>
                <w:szCs w:val="16"/>
              </w:rPr>
              <w:t>504</w:t>
            </w:r>
          </w:p>
        </w:tc>
        <w:tc>
          <w:tcPr>
            <w:tcW w:w="470" w:type="pct"/>
            <w:tcBorders>
              <w:top w:val="nil"/>
              <w:left w:val="nil"/>
              <w:bottom w:val="single" w:sz="8" w:space="0" w:color="auto"/>
              <w:right w:val="single" w:sz="8" w:space="0" w:color="auto"/>
            </w:tcBorders>
            <w:shd w:val="clear" w:color="000000" w:fill="808080"/>
            <w:vAlign w:val="center"/>
            <w:hideMark/>
          </w:tcPr>
          <w:p w14:paraId="4729DB1F" w14:textId="1846C209"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809</w:t>
            </w:r>
          </w:p>
        </w:tc>
        <w:tc>
          <w:tcPr>
            <w:tcW w:w="468" w:type="pct"/>
            <w:tcBorders>
              <w:top w:val="nil"/>
              <w:left w:val="nil"/>
              <w:bottom w:val="single" w:sz="8" w:space="0" w:color="auto"/>
              <w:right w:val="single" w:sz="8" w:space="0" w:color="auto"/>
            </w:tcBorders>
            <w:shd w:val="clear" w:color="000000" w:fill="D0CECE"/>
            <w:vAlign w:val="center"/>
            <w:hideMark/>
          </w:tcPr>
          <w:p w14:paraId="2BC7FF0B" w14:textId="12EA9B7F"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160</w:t>
            </w:r>
          </w:p>
        </w:tc>
        <w:tc>
          <w:tcPr>
            <w:tcW w:w="468" w:type="pct"/>
            <w:tcBorders>
              <w:top w:val="nil"/>
              <w:left w:val="nil"/>
              <w:bottom w:val="single" w:sz="8" w:space="0" w:color="auto"/>
              <w:right w:val="single" w:sz="8" w:space="0" w:color="auto"/>
            </w:tcBorders>
            <w:vAlign w:val="center"/>
          </w:tcPr>
          <w:p w14:paraId="2C21BD4B" w14:textId="4D5C1BD8"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112</w:t>
            </w:r>
          </w:p>
        </w:tc>
        <w:tc>
          <w:tcPr>
            <w:tcW w:w="467" w:type="pct"/>
            <w:tcBorders>
              <w:top w:val="nil"/>
              <w:left w:val="nil"/>
              <w:bottom w:val="single" w:sz="8" w:space="0" w:color="auto"/>
              <w:right w:val="single" w:sz="8" w:space="0" w:color="auto"/>
            </w:tcBorders>
            <w:shd w:val="clear" w:color="000000" w:fill="D0CECE"/>
            <w:vAlign w:val="center"/>
          </w:tcPr>
          <w:p w14:paraId="77A6F19B" w14:textId="61A51CF6"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423</w:t>
            </w:r>
          </w:p>
        </w:tc>
      </w:tr>
      <w:tr w:rsidR="00A55933" w:rsidRPr="00A55933" w14:paraId="2EDB256A" w14:textId="5A8FC8C9" w:rsidTr="00A55933">
        <w:trPr>
          <w:trHeight w:val="1219"/>
          <w:jc w:val="center"/>
        </w:trPr>
        <w:tc>
          <w:tcPr>
            <w:tcW w:w="1461" w:type="pct"/>
            <w:shd w:val="clear" w:color="000000" w:fill="FFFFFF"/>
            <w:vAlign w:val="center"/>
            <w:hideMark/>
          </w:tcPr>
          <w:p w14:paraId="5A6DAD43"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2127 Engineering project managers and project engineers</w:t>
            </w:r>
          </w:p>
        </w:tc>
        <w:tc>
          <w:tcPr>
            <w:tcW w:w="567" w:type="pct"/>
            <w:vMerge/>
            <w:vAlign w:val="center"/>
            <w:hideMark/>
          </w:tcPr>
          <w:p w14:paraId="3C9CD95A"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684B2EC1"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274D92E2" w14:textId="1AA84042"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2</w:t>
            </w:r>
            <w:r w:rsidR="007772F8" w:rsidRPr="007772F8">
              <w:rPr>
                <w:rFonts w:cs="Arial"/>
                <w:color w:val="000000" w:themeColor="text1"/>
                <w:sz w:val="16"/>
                <w:szCs w:val="16"/>
              </w:rPr>
              <w:t>,</w:t>
            </w:r>
            <w:r w:rsidRPr="007772F8">
              <w:rPr>
                <w:rFonts w:cs="Arial"/>
                <w:color w:val="000000" w:themeColor="text1"/>
                <w:sz w:val="16"/>
                <w:szCs w:val="16"/>
              </w:rPr>
              <w:t>352</w:t>
            </w:r>
          </w:p>
        </w:tc>
        <w:tc>
          <w:tcPr>
            <w:tcW w:w="470" w:type="pct"/>
            <w:tcBorders>
              <w:top w:val="nil"/>
              <w:left w:val="nil"/>
              <w:bottom w:val="single" w:sz="8" w:space="0" w:color="auto"/>
              <w:right w:val="single" w:sz="8" w:space="0" w:color="auto"/>
            </w:tcBorders>
            <w:shd w:val="clear" w:color="000000" w:fill="808080"/>
            <w:vAlign w:val="center"/>
            <w:hideMark/>
          </w:tcPr>
          <w:p w14:paraId="6608A9BD" w14:textId="43B5F234"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265</w:t>
            </w:r>
          </w:p>
        </w:tc>
        <w:tc>
          <w:tcPr>
            <w:tcW w:w="468" w:type="pct"/>
            <w:tcBorders>
              <w:top w:val="nil"/>
              <w:left w:val="nil"/>
              <w:bottom w:val="single" w:sz="8" w:space="0" w:color="auto"/>
              <w:right w:val="single" w:sz="8" w:space="0" w:color="auto"/>
            </w:tcBorders>
            <w:shd w:val="clear" w:color="000000" w:fill="D0CECE"/>
            <w:vAlign w:val="center"/>
            <w:hideMark/>
          </w:tcPr>
          <w:p w14:paraId="756495FE" w14:textId="7D58DB98"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250</w:t>
            </w:r>
          </w:p>
        </w:tc>
        <w:tc>
          <w:tcPr>
            <w:tcW w:w="468" w:type="pct"/>
            <w:tcBorders>
              <w:top w:val="nil"/>
              <w:left w:val="nil"/>
              <w:bottom w:val="single" w:sz="8" w:space="0" w:color="auto"/>
              <w:right w:val="single" w:sz="8" w:space="0" w:color="auto"/>
            </w:tcBorders>
            <w:vAlign w:val="center"/>
          </w:tcPr>
          <w:p w14:paraId="162475FB" w14:textId="54ED5EAA"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175</w:t>
            </w:r>
          </w:p>
        </w:tc>
        <w:tc>
          <w:tcPr>
            <w:tcW w:w="467" w:type="pct"/>
            <w:tcBorders>
              <w:top w:val="nil"/>
              <w:left w:val="nil"/>
              <w:bottom w:val="single" w:sz="8" w:space="0" w:color="auto"/>
              <w:right w:val="single" w:sz="8" w:space="0" w:color="auto"/>
            </w:tcBorders>
            <w:shd w:val="clear" w:color="000000" w:fill="D0CECE"/>
            <w:vAlign w:val="center"/>
          </w:tcPr>
          <w:p w14:paraId="59169C10" w14:textId="315570C2"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662</w:t>
            </w:r>
          </w:p>
        </w:tc>
      </w:tr>
      <w:tr w:rsidR="00A55933" w:rsidRPr="00A55933" w14:paraId="5E7DA21A" w14:textId="536DF1DF" w:rsidTr="00A55933">
        <w:trPr>
          <w:trHeight w:val="1219"/>
          <w:jc w:val="center"/>
        </w:trPr>
        <w:tc>
          <w:tcPr>
            <w:tcW w:w="1461" w:type="pct"/>
            <w:shd w:val="clear" w:color="000000" w:fill="FFFFFF"/>
            <w:vAlign w:val="center"/>
            <w:hideMark/>
          </w:tcPr>
          <w:p w14:paraId="28371BF7"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2129 Engineering professionals n.e.c.</w:t>
            </w:r>
          </w:p>
        </w:tc>
        <w:tc>
          <w:tcPr>
            <w:tcW w:w="567" w:type="pct"/>
            <w:vMerge/>
            <w:vAlign w:val="center"/>
            <w:hideMark/>
          </w:tcPr>
          <w:p w14:paraId="65389F01"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4838E61E"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49E0F74C" w14:textId="0E692BE8"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0</w:t>
            </w:r>
          </w:p>
        </w:tc>
        <w:tc>
          <w:tcPr>
            <w:tcW w:w="470" w:type="pct"/>
            <w:tcBorders>
              <w:top w:val="nil"/>
              <w:left w:val="nil"/>
              <w:bottom w:val="single" w:sz="8" w:space="0" w:color="auto"/>
              <w:right w:val="single" w:sz="8" w:space="0" w:color="auto"/>
            </w:tcBorders>
            <w:shd w:val="clear" w:color="000000" w:fill="808080"/>
            <w:vAlign w:val="center"/>
            <w:hideMark/>
          </w:tcPr>
          <w:p w14:paraId="567BF5C0" w14:textId="1485DE12"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0</w:t>
            </w:r>
          </w:p>
        </w:tc>
        <w:tc>
          <w:tcPr>
            <w:tcW w:w="468" w:type="pct"/>
            <w:tcBorders>
              <w:top w:val="nil"/>
              <w:left w:val="nil"/>
              <w:bottom w:val="single" w:sz="8" w:space="0" w:color="auto"/>
              <w:right w:val="single" w:sz="8" w:space="0" w:color="auto"/>
            </w:tcBorders>
            <w:shd w:val="clear" w:color="000000" w:fill="D0CECE"/>
            <w:vAlign w:val="center"/>
            <w:hideMark/>
          </w:tcPr>
          <w:p w14:paraId="6C8FAA1A" w14:textId="4CE785D5"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0</w:t>
            </w:r>
          </w:p>
        </w:tc>
        <w:tc>
          <w:tcPr>
            <w:tcW w:w="468" w:type="pct"/>
            <w:tcBorders>
              <w:top w:val="nil"/>
              <w:left w:val="nil"/>
              <w:bottom w:val="single" w:sz="8" w:space="0" w:color="auto"/>
              <w:right w:val="single" w:sz="8" w:space="0" w:color="auto"/>
            </w:tcBorders>
            <w:vAlign w:val="center"/>
          </w:tcPr>
          <w:p w14:paraId="0D5C45EA" w14:textId="690612EB"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0</w:t>
            </w:r>
          </w:p>
        </w:tc>
        <w:tc>
          <w:tcPr>
            <w:tcW w:w="467" w:type="pct"/>
            <w:tcBorders>
              <w:top w:val="nil"/>
              <w:left w:val="nil"/>
              <w:bottom w:val="single" w:sz="8" w:space="0" w:color="auto"/>
              <w:right w:val="single" w:sz="8" w:space="0" w:color="auto"/>
            </w:tcBorders>
            <w:shd w:val="clear" w:color="000000" w:fill="D0CECE"/>
            <w:vAlign w:val="center"/>
          </w:tcPr>
          <w:p w14:paraId="3BE4CC9B" w14:textId="2910B9B5"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0</w:t>
            </w:r>
          </w:p>
        </w:tc>
      </w:tr>
      <w:tr w:rsidR="00A55933" w:rsidRPr="00A55933" w14:paraId="1287EBDF" w14:textId="538A32EB" w:rsidTr="00A55933">
        <w:trPr>
          <w:trHeight w:val="1219"/>
          <w:jc w:val="center"/>
        </w:trPr>
        <w:tc>
          <w:tcPr>
            <w:tcW w:w="1461" w:type="pct"/>
            <w:shd w:val="clear" w:color="000000" w:fill="FFFFFF"/>
            <w:vAlign w:val="center"/>
            <w:hideMark/>
          </w:tcPr>
          <w:p w14:paraId="14C0A6A0"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2455 Construction project managers and related professionals</w:t>
            </w:r>
          </w:p>
        </w:tc>
        <w:tc>
          <w:tcPr>
            <w:tcW w:w="567" w:type="pct"/>
            <w:vMerge/>
            <w:vAlign w:val="center"/>
            <w:hideMark/>
          </w:tcPr>
          <w:p w14:paraId="3DC5002C"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49A46CBA"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43EC061E" w14:textId="361980A5"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4</w:t>
            </w:r>
            <w:r w:rsidR="007772F8" w:rsidRPr="007772F8">
              <w:rPr>
                <w:rFonts w:cs="Arial"/>
                <w:color w:val="000000" w:themeColor="text1"/>
                <w:sz w:val="16"/>
                <w:szCs w:val="16"/>
              </w:rPr>
              <w:t>,</w:t>
            </w:r>
            <w:r w:rsidRPr="007772F8">
              <w:rPr>
                <w:rFonts w:cs="Arial"/>
                <w:color w:val="000000" w:themeColor="text1"/>
                <w:sz w:val="16"/>
                <w:szCs w:val="16"/>
              </w:rPr>
              <w:t>045</w:t>
            </w:r>
          </w:p>
        </w:tc>
        <w:tc>
          <w:tcPr>
            <w:tcW w:w="470" w:type="pct"/>
            <w:tcBorders>
              <w:top w:val="nil"/>
              <w:left w:val="nil"/>
              <w:bottom w:val="single" w:sz="8" w:space="0" w:color="auto"/>
              <w:right w:val="single" w:sz="8" w:space="0" w:color="auto"/>
            </w:tcBorders>
            <w:shd w:val="clear" w:color="000000" w:fill="D0CECE"/>
            <w:vAlign w:val="center"/>
            <w:hideMark/>
          </w:tcPr>
          <w:p w14:paraId="50B391FA" w14:textId="0B6905EC"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997</w:t>
            </w:r>
          </w:p>
        </w:tc>
        <w:tc>
          <w:tcPr>
            <w:tcW w:w="468" w:type="pct"/>
            <w:tcBorders>
              <w:top w:val="nil"/>
              <w:left w:val="nil"/>
              <w:bottom w:val="single" w:sz="8" w:space="0" w:color="auto"/>
              <w:right w:val="single" w:sz="8" w:space="0" w:color="auto"/>
            </w:tcBorders>
            <w:vAlign w:val="center"/>
            <w:hideMark/>
          </w:tcPr>
          <w:p w14:paraId="13F3FEF0" w14:textId="3640AAA1"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453</w:t>
            </w:r>
          </w:p>
        </w:tc>
        <w:tc>
          <w:tcPr>
            <w:tcW w:w="468" w:type="pct"/>
            <w:tcBorders>
              <w:top w:val="nil"/>
              <w:left w:val="nil"/>
              <w:bottom w:val="single" w:sz="8" w:space="0" w:color="auto"/>
              <w:right w:val="single" w:sz="8" w:space="0" w:color="auto"/>
            </w:tcBorders>
            <w:vAlign w:val="center"/>
          </w:tcPr>
          <w:p w14:paraId="2953CEF6" w14:textId="69DEBB0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331</w:t>
            </w:r>
          </w:p>
        </w:tc>
        <w:tc>
          <w:tcPr>
            <w:tcW w:w="467" w:type="pct"/>
            <w:tcBorders>
              <w:top w:val="nil"/>
              <w:left w:val="nil"/>
              <w:bottom w:val="single" w:sz="8" w:space="0" w:color="auto"/>
              <w:right w:val="single" w:sz="8" w:space="0" w:color="auto"/>
            </w:tcBorders>
            <w:vAlign w:val="center"/>
          </w:tcPr>
          <w:p w14:paraId="77D04EB0" w14:textId="42F94865"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264</w:t>
            </w:r>
          </w:p>
        </w:tc>
      </w:tr>
      <w:tr w:rsidR="00A55933" w:rsidRPr="00A55933" w14:paraId="1D70265A" w14:textId="0D67B6AB" w:rsidTr="00A55933">
        <w:trPr>
          <w:trHeight w:val="1219"/>
          <w:jc w:val="center"/>
        </w:trPr>
        <w:tc>
          <w:tcPr>
            <w:tcW w:w="1461" w:type="pct"/>
            <w:shd w:val="clear" w:color="000000" w:fill="FFFFFF"/>
            <w:vAlign w:val="center"/>
            <w:hideMark/>
          </w:tcPr>
          <w:p w14:paraId="037083B6"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lastRenderedPageBreak/>
              <w:t>3114 Building and civil engineering technicians</w:t>
            </w:r>
          </w:p>
        </w:tc>
        <w:tc>
          <w:tcPr>
            <w:tcW w:w="567" w:type="pct"/>
            <w:vMerge/>
            <w:vAlign w:val="center"/>
            <w:hideMark/>
          </w:tcPr>
          <w:p w14:paraId="0E798B5A"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67E3B1F1"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252E57E0" w14:textId="5BD335CB"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966</w:t>
            </w:r>
          </w:p>
        </w:tc>
        <w:tc>
          <w:tcPr>
            <w:tcW w:w="470" w:type="pct"/>
            <w:tcBorders>
              <w:top w:val="nil"/>
              <w:left w:val="nil"/>
              <w:bottom w:val="single" w:sz="8" w:space="0" w:color="auto"/>
              <w:right w:val="single" w:sz="8" w:space="0" w:color="auto"/>
            </w:tcBorders>
            <w:shd w:val="clear" w:color="000000" w:fill="D0CECE"/>
            <w:vAlign w:val="center"/>
            <w:hideMark/>
          </w:tcPr>
          <w:p w14:paraId="7DEDE05F" w14:textId="792B8D5C"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493</w:t>
            </w:r>
          </w:p>
        </w:tc>
        <w:tc>
          <w:tcPr>
            <w:tcW w:w="468" w:type="pct"/>
            <w:tcBorders>
              <w:top w:val="nil"/>
              <w:left w:val="nil"/>
              <w:bottom w:val="single" w:sz="8" w:space="0" w:color="auto"/>
              <w:right w:val="single" w:sz="8" w:space="0" w:color="auto"/>
            </w:tcBorders>
            <w:shd w:val="clear" w:color="000000" w:fill="808080"/>
            <w:vAlign w:val="center"/>
            <w:hideMark/>
          </w:tcPr>
          <w:p w14:paraId="29C59EF7" w14:textId="6749109A"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102</w:t>
            </w:r>
          </w:p>
        </w:tc>
        <w:tc>
          <w:tcPr>
            <w:tcW w:w="468" w:type="pct"/>
            <w:tcBorders>
              <w:top w:val="nil"/>
              <w:left w:val="nil"/>
              <w:bottom w:val="single" w:sz="8" w:space="0" w:color="auto"/>
              <w:right w:val="single" w:sz="8" w:space="0" w:color="auto"/>
            </w:tcBorders>
            <w:shd w:val="clear" w:color="000000" w:fill="D0CECE"/>
            <w:vAlign w:val="center"/>
          </w:tcPr>
          <w:p w14:paraId="6136BBAA" w14:textId="790ED2B0"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46</w:t>
            </w:r>
          </w:p>
        </w:tc>
        <w:tc>
          <w:tcPr>
            <w:tcW w:w="467" w:type="pct"/>
            <w:tcBorders>
              <w:top w:val="nil"/>
              <w:left w:val="nil"/>
              <w:bottom w:val="single" w:sz="8" w:space="0" w:color="auto"/>
              <w:right w:val="single" w:sz="8" w:space="0" w:color="auto"/>
            </w:tcBorders>
            <w:shd w:val="clear" w:color="000000" w:fill="D0CECE"/>
            <w:vAlign w:val="center"/>
          </w:tcPr>
          <w:p w14:paraId="5ED773FE" w14:textId="48B5959C"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326</w:t>
            </w:r>
          </w:p>
        </w:tc>
      </w:tr>
      <w:tr w:rsidR="00A55933" w:rsidRPr="00A55933" w14:paraId="40BF2DBE" w14:textId="0A89C81E" w:rsidTr="00A55933">
        <w:trPr>
          <w:trHeight w:val="1219"/>
          <w:jc w:val="center"/>
        </w:trPr>
        <w:tc>
          <w:tcPr>
            <w:tcW w:w="1461" w:type="pct"/>
            <w:shd w:val="clear" w:color="000000" w:fill="FFFFFF"/>
            <w:vAlign w:val="center"/>
            <w:hideMark/>
          </w:tcPr>
          <w:p w14:paraId="727BFC25"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3582 Health and safety managers and officers</w:t>
            </w:r>
          </w:p>
        </w:tc>
        <w:tc>
          <w:tcPr>
            <w:tcW w:w="567" w:type="pct"/>
            <w:vMerge/>
            <w:vAlign w:val="center"/>
            <w:hideMark/>
          </w:tcPr>
          <w:p w14:paraId="19851327"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213C6E73"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2665FCDB" w14:textId="705B2A69"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4</w:t>
            </w:r>
            <w:r w:rsidR="007772F8" w:rsidRPr="007772F8">
              <w:rPr>
                <w:rFonts w:cs="Arial"/>
                <w:color w:val="000000" w:themeColor="text1"/>
                <w:sz w:val="16"/>
                <w:szCs w:val="16"/>
              </w:rPr>
              <w:t>,</w:t>
            </w:r>
            <w:r w:rsidRPr="007772F8">
              <w:rPr>
                <w:rFonts w:cs="Arial"/>
                <w:color w:val="000000" w:themeColor="text1"/>
                <w:sz w:val="16"/>
                <w:szCs w:val="16"/>
              </w:rPr>
              <w:t>094</w:t>
            </w:r>
          </w:p>
        </w:tc>
        <w:tc>
          <w:tcPr>
            <w:tcW w:w="470" w:type="pct"/>
            <w:tcBorders>
              <w:top w:val="nil"/>
              <w:left w:val="nil"/>
              <w:bottom w:val="single" w:sz="8" w:space="0" w:color="auto"/>
              <w:right w:val="single" w:sz="8" w:space="0" w:color="auto"/>
            </w:tcBorders>
            <w:shd w:val="clear" w:color="000000" w:fill="D0CECE"/>
            <w:vAlign w:val="center"/>
            <w:hideMark/>
          </w:tcPr>
          <w:p w14:paraId="31A2378C" w14:textId="7476ECE3"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w:t>
            </w:r>
            <w:r w:rsidR="007772F8" w:rsidRPr="007772F8">
              <w:rPr>
                <w:rFonts w:cs="Calibri"/>
                <w:color w:val="000000" w:themeColor="text1"/>
                <w:sz w:val="16"/>
                <w:szCs w:val="16"/>
              </w:rPr>
              <w:t>,</w:t>
            </w:r>
            <w:r w:rsidRPr="007772F8">
              <w:rPr>
                <w:rFonts w:cs="Calibri"/>
                <w:color w:val="000000" w:themeColor="text1"/>
                <w:sz w:val="16"/>
                <w:szCs w:val="16"/>
              </w:rPr>
              <w:t>055</w:t>
            </w:r>
          </w:p>
        </w:tc>
        <w:tc>
          <w:tcPr>
            <w:tcW w:w="468" w:type="pct"/>
            <w:tcBorders>
              <w:top w:val="nil"/>
              <w:left w:val="nil"/>
              <w:bottom w:val="single" w:sz="8" w:space="0" w:color="auto"/>
              <w:right w:val="single" w:sz="8" w:space="0" w:color="auto"/>
            </w:tcBorders>
            <w:vAlign w:val="center"/>
            <w:hideMark/>
          </w:tcPr>
          <w:p w14:paraId="3739D578" w14:textId="00B289D1"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428</w:t>
            </w:r>
          </w:p>
        </w:tc>
        <w:tc>
          <w:tcPr>
            <w:tcW w:w="468" w:type="pct"/>
            <w:tcBorders>
              <w:top w:val="nil"/>
              <w:left w:val="nil"/>
              <w:bottom w:val="single" w:sz="8" w:space="0" w:color="auto"/>
              <w:right w:val="single" w:sz="8" w:space="0" w:color="auto"/>
            </w:tcBorders>
            <w:vAlign w:val="center"/>
          </w:tcPr>
          <w:p w14:paraId="6DDC060A" w14:textId="5C5DB5CB"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432</w:t>
            </w:r>
          </w:p>
        </w:tc>
        <w:tc>
          <w:tcPr>
            <w:tcW w:w="467" w:type="pct"/>
            <w:tcBorders>
              <w:top w:val="nil"/>
              <w:left w:val="nil"/>
              <w:bottom w:val="single" w:sz="8" w:space="0" w:color="auto"/>
              <w:right w:val="single" w:sz="8" w:space="0" w:color="auto"/>
            </w:tcBorders>
            <w:shd w:val="clear" w:color="000000" w:fill="D0CECE"/>
            <w:vAlign w:val="center"/>
          </w:tcPr>
          <w:p w14:paraId="62CEEF81" w14:textId="116AAC4A"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178</w:t>
            </w:r>
          </w:p>
        </w:tc>
      </w:tr>
      <w:tr w:rsidR="00A55933" w:rsidRPr="00A55933" w14:paraId="6112319E" w14:textId="37C70214" w:rsidTr="00A55933">
        <w:trPr>
          <w:trHeight w:val="1219"/>
          <w:jc w:val="center"/>
        </w:trPr>
        <w:tc>
          <w:tcPr>
            <w:tcW w:w="1461" w:type="pct"/>
            <w:shd w:val="clear" w:color="000000" w:fill="FFFFFF"/>
            <w:vAlign w:val="center"/>
            <w:hideMark/>
          </w:tcPr>
          <w:p w14:paraId="014AA101"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4159 Other administrative occupations n.e.c.</w:t>
            </w:r>
          </w:p>
        </w:tc>
        <w:tc>
          <w:tcPr>
            <w:tcW w:w="567" w:type="pct"/>
            <w:vMerge/>
            <w:vAlign w:val="center"/>
            <w:hideMark/>
          </w:tcPr>
          <w:p w14:paraId="270F41B6"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0F58AC40"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FFFFFF"/>
            <w:vAlign w:val="center"/>
            <w:hideMark/>
          </w:tcPr>
          <w:p w14:paraId="57D4DD04" w14:textId="4460550B"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22</w:t>
            </w:r>
            <w:r w:rsidR="007772F8" w:rsidRPr="007772F8">
              <w:rPr>
                <w:rFonts w:cs="Arial"/>
                <w:color w:val="000000" w:themeColor="text1"/>
                <w:sz w:val="16"/>
                <w:szCs w:val="16"/>
              </w:rPr>
              <w:t>,</w:t>
            </w:r>
            <w:r w:rsidRPr="007772F8">
              <w:rPr>
                <w:rFonts w:cs="Arial"/>
                <w:color w:val="000000" w:themeColor="text1"/>
                <w:sz w:val="16"/>
                <w:szCs w:val="16"/>
              </w:rPr>
              <w:t>544</w:t>
            </w:r>
          </w:p>
        </w:tc>
        <w:tc>
          <w:tcPr>
            <w:tcW w:w="470" w:type="pct"/>
            <w:tcBorders>
              <w:top w:val="nil"/>
              <w:left w:val="nil"/>
              <w:bottom w:val="single" w:sz="8" w:space="0" w:color="auto"/>
              <w:right w:val="single" w:sz="8" w:space="0" w:color="auto"/>
            </w:tcBorders>
            <w:shd w:val="clear" w:color="000000" w:fill="D0CECE"/>
            <w:vAlign w:val="center"/>
            <w:hideMark/>
          </w:tcPr>
          <w:p w14:paraId="1C2FC8C5" w14:textId="3EAB6FBF"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11</w:t>
            </w:r>
            <w:r w:rsidR="007772F8" w:rsidRPr="007772F8">
              <w:rPr>
                <w:rFonts w:cs="Calibri"/>
                <w:color w:val="000000" w:themeColor="text1"/>
                <w:sz w:val="16"/>
                <w:szCs w:val="16"/>
              </w:rPr>
              <w:t>,</w:t>
            </w:r>
            <w:r w:rsidRPr="007772F8">
              <w:rPr>
                <w:rFonts w:cs="Calibri"/>
                <w:color w:val="000000" w:themeColor="text1"/>
                <w:sz w:val="16"/>
                <w:szCs w:val="16"/>
              </w:rPr>
              <w:t>113</w:t>
            </w:r>
          </w:p>
        </w:tc>
        <w:tc>
          <w:tcPr>
            <w:tcW w:w="468" w:type="pct"/>
            <w:tcBorders>
              <w:top w:val="nil"/>
              <w:left w:val="nil"/>
              <w:bottom w:val="single" w:sz="8" w:space="0" w:color="auto"/>
              <w:right w:val="single" w:sz="8" w:space="0" w:color="auto"/>
            </w:tcBorders>
            <w:vAlign w:val="center"/>
            <w:hideMark/>
          </w:tcPr>
          <w:p w14:paraId="7035F558" w14:textId="51EAC9A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w:t>
            </w:r>
            <w:r w:rsidR="007772F8" w:rsidRPr="007772F8">
              <w:rPr>
                <w:rFonts w:cs="Calibri"/>
                <w:color w:val="000000" w:themeColor="text1"/>
                <w:sz w:val="16"/>
                <w:szCs w:val="16"/>
              </w:rPr>
              <w:t>,</w:t>
            </w:r>
            <w:r w:rsidRPr="007772F8">
              <w:rPr>
                <w:rFonts w:cs="Calibri"/>
                <w:color w:val="000000" w:themeColor="text1"/>
                <w:sz w:val="16"/>
                <w:szCs w:val="16"/>
              </w:rPr>
              <w:t>593</w:t>
            </w:r>
          </w:p>
        </w:tc>
        <w:tc>
          <w:tcPr>
            <w:tcW w:w="468" w:type="pct"/>
            <w:tcBorders>
              <w:top w:val="nil"/>
              <w:left w:val="nil"/>
              <w:bottom w:val="single" w:sz="8" w:space="0" w:color="auto"/>
              <w:right w:val="single" w:sz="8" w:space="0" w:color="auto"/>
            </w:tcBorders>
            <w:vAlign w:val="center"/>
          </w:tcPr>
          <w:p w14:paraId="3F4F20F6" w14:textId="3747E324"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940</w:t>
            </w:r>
          </w:p>
        </w:tc>
        <w:tc>
          <w:tcPr>
            <w:tcW w:w="467" w:type="pct"/>
            <w:tcBorders>
              <w:top w:val="nil"/>
              <w:left w:val="nil"/>
              <w:bottom w:val="single" w:sz="8" w:space="0" w:color="auto"/>
              <w:right w:val="single" w:sz="8" w:space="0" w:color="auto"/>
            </w:tcBorders>
            <w:vAlign w:val="center"/>
          </w:tcPr>
          <w:p w14:paraId="68A7876A" w14:textId="5BE1A821"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6</w:t>
            </w:r>
            <w:r w:rsidR="007772F8" w:rsidRPr="007772F8">
              <w:rPr>
                <w:rFonts w:cs="Calibri"/>
                <w:color w:val="000000" w:themeColor="text1"/>
                <w:sz w:val="16"/>
                <w:szCs w:val="16"/>
              </w:rPr>
              <w:t>,</w:t>
            </w:r>
            <w:r w:rsidRPr="007772F8">
              <w:rPr>
                <w:rFonts w:cs="Calibri"/>
                <w:color w:val="000000" w:themeColor="text1"/>
                <w:sz w:val="16"/>
                <w:szCs w:val="16"/>
              </w:rPr>
              <w:t>897</w:t>
            </w:r>
          </w:p>
        </w:tc>
      </w:tr>
      <w:tr w:rsidR="00A55933" w:rsidRPr="00A55933" w14:paraId="4D0D97B5" w14:textId="7E02D8A7" w:rsidTr="00A55933">
        <w:trPr>
          <w:trHeight w:val="1219"/>
          <w:jc w:val="center"/>
        </w:trPr>
        <w:tc>
          <w:tcPr>
            <w:tcW w:w="1461" w:type="pct"/>
            <w:shd w:val="clear" w:color="000000" w:fill="FFFFFF"/>
            <w:vAlign w:val="center"/>
            <w:hideMark/>
          </w:tcPr>
          <w:p w14:paraId="120675F5"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5250 Skilled metal, electrical and electronic trades supervisors</w:t>
            </w:r>
          </w:p>
        </w:tc>
        <w:tc>
          <w:tcPr>
            <w:tcW w:w="567" w:type="pct"/>
            <w:vMerge/>
            <w:vAlign w:val="center"/>
            <w:hideMark/>
          </w:tcPr>
          <w:p w14:paraId="1CE7FFA3"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0B46DC92"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3888840A" w14:textId="7AFBE1D6"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2</w:t>
            </w:r>
            <w:r w:rsidR="007772F8" w:rsidRPr="007772F8">
              <w:rPr>
                <w:rFonts w:cs="Arial"/>
                <w:color w:val="000000" w:themeColor="text1"/>
                <w:sz w:val="16"/>
                <w:szCs w:val="16"/>
              </w:rPr>
              <w:t>,</w:t>
            </w:r>
            <w:r w:rsidRPr="007772F8">
              <w:rPr>
                <w:rFonts w:cs="Arial"/>
                <w:color w:val="000000" w:themeColor="text1"/>
                <w:sz w:val="16"/>
                <w:szCs w:val="16"/>
              </w:rPr>
              <w:t>331</w:t>
            </w:r>
          </w:p>
        </w:tc>
        <w:tc>
          <w:tcPr>
            <w:tcW w:w="470" w:type="pct"/>
            <w:tcBorders>
              <w:top w:val="nil"/>
              <w:left w:val="nil"/>
              <w:bottom w:val="single" w:sz="8" w:space="0" w:color="auto"/>
              <w:right w:val="single" w:sz="8" w:space="0" w:color="auto"/>
            </w:tcBorders>
            <w:shd w:val="clear" w:color="000000" w:fill="D0CECE"/>
            <w:vAlign w:val="center"/>
            <w:hideMark/>
          </w:tcPr>
          <w:p w14:paraId="683E338B" w14:textId="2C13C581"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216</w:t>
            </w:r>
          </w:p>
        </w:tc>
        <w:tc>
          <w:tcPr>
            <w:tcW w:w="468" w:type="pct"/>
            <w:tcBorders>
              <w:top w:val="nil"/>
              <w:left w:val="nil"/>
              <w:bottom w:val="single" w:sz="8" w:space="0" w:color="auto"/>
              <w:right w:val="single" w:sz="8" w:space="0" w:color="auto"/>
            </w:tcBorders>
            <w:shd w:val="clear" w:color="000000" w:fill="D0CECE"/>
            <w:vAlign w:val="center"/>
            <w:hideMark/>
          </w:tcPr>
          <w:p w14:paraId="354C5960" w14:textId="3E54D131"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261</w:t>
            </w:r>
          </w:p>
        </w:tc>
        <w:tc>
          <w:tcPr>
            <w:tcW w:w="468" w:type="pct"/>
            <w:tcBorders>
              <w:top w:val="nil"/>
              <w:left w:val="nil"/>
              <w:bottom w:val="single" w:sz="8" w:space="0" w:color="auto"/>
              <w:right w:val="single" w:sz="8" w:space="0" w:color="auto"/>
            </w:tcBorders>
            <w:shd w:val="clear" w:color="000000" w:fill="D0CECE"/>
            <w:vAlign w:val="center"/>
          </w:tcPr>
          <w:p w14:paraId="59F7E17D" w14:textId="56EA1174"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118</w:t>
            </w:r>
          </w:p>
        </w:tc>
        <w:tc>
          <w:tcPr>
            <w:tcW w:w="467" w:type="pct"/>
            <w:tcBorders>
              <w:top w:val="nil"/>
              <w:left w:val="nil"/>
              <w:bottom w:val="single" w:sz="8" w:space="0" w:color="auto"/>
              <w:right w:val="single" w:sz="8" w:space="0" w:color="auto"/>
            </w:tcBorders>
            <w:shd w:val="clear" w:color="000000" w:fill="D0CECE"/>
            <w:vAlign w:val="center"/>
          </w:tcPr>
          <w:p w14:paraId="4E3E7521" w14:textId="6CAC6202"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736</w:t>
            </w:r>
          </w:p>
        </w:tc>
      </w:tr>
      <w:tr w:rsidR="00A55933" w:rsidRPr="00A55933" w14:paraId="7B6AA443" w14:textId="4D205392" w:rsidTr="00A55933">
        <w:trPr>
          <w:trHeight w:val="1219"/>
          <w:jc w:val="center"/>
        </w:trPr>
        <w:tc>
          <w:tcPr>
            <w:tcW w:w="1461" w:type="pct"/>
            <w:shd w:val="clear" w:color="000000" w:fill="FFFFFF"/>
            <w:vAlign w:val="center"/>
            <w:hideMark/>
          </w:tcPr>
          <w:p w14:paraId="1D81E0CF"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5330 Construction and building trades supervisors</w:t>
            </w:r>
          </w:p>
        </w:tc>
        <w:tc>
          <w:tcPr>
            <w:tcW w:w="567" w:type="pct"/>
            <w:vMerge/>
            <w:vAlign w:val="center"/>
            <w:hideMark/>
          </w:tcPr>
          <w:p w14:paraId="1A9A27D0"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B8F8FF" w:themeFill="text2" w:themeFillTint="33"/>
            <w:vAlign w:val="center"/>
            <w:hideMark/>
          </w:tcPr>
          <w:p w14:paraId="26F61C66"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4AAC339F" w14:textId="0D8CBBF6"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2</w:t>
            </w:r>
            <w:r w:rsidR="007772F8" w:rsidRPr="007772F8">
              <w:rPr>
                <w:rFonts w:cs="Arial"/>
                <w:color w:val="000000" w:themeColor="text1"/>
                <w:sz w:val="16"/>
                <w:szCs w:val="16"/>
              </w:rPr>
              <w:t>,</w:t>
            </w:r>
            <w:r w:rsidRPr="007772F8">
              <w:rPr>
                <w:rFonts w:cs="Arial"/>
                <w:color w:val="000000" w:themeColor="text1"/>
                <w:sz w:val="16"/>
                <w:szCs w:val="16"/>
              </w:rPr>
              <w:t>785</w:t>
            </w:r>
          </w:p>
        </w:tc>
        <w:tc>
          <w:tcPr>
            <w:tcW w:w="470" w:type="pct"/>
            <w:tcBorders>
              <w:top w:val="nil"/>
              <w:left w:val="nil"/>
              <w:bottom w:val="single" w:sz="8" w:space="0" w:color="auto"/>
              <w:right w:val="single" w:sz="8" w:space="0" w:color="auto"/>
            </w:tcBorders>
            <w:shd w:val="clear" w:color="000000" w:fill="D0CECE"/>
            <w:vAlign w:val="center"/>
            <w:hideMark/>
          </w:tcPr>
          <w:p w14:paraId="4B4527F0" w14:textId="6B137487"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546</w:t>
            </w:r>
          </w:p>
        </w:tc>
        <w:tc>
          <w:tcPr>
            <w:tcW w:w="468" w:type="pct"/>
            <w:tcBorders>
              <w:top w:val="nil"/>
              <w:left w:val="nil"/>
              <w:bottom w:val="single" w:sz="8" w:space="0" w:color="auto"/>
              <w:right w:val="single" w:sz="8" w:space="0" w:color="auto"/>
            </w:tcBorders>
            <w:shd w:val="clear" w:color="000000" w:fill="D0CECE"/>
            <w:vAlign w:val="center"/>
            <w:hideMark/>
          </w:tcPr>
          <w:p w14:paraId="3719FF79" w14:textId="3C7341C3"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324</w:t>
            </w:r>
          </w:p>
        </w:tc>
        <w:tc>
          <w:tcPr>
            <w:tcW w:w="468" w:type="pct"/>
            <w:tcBorders>
              <w:top w:val="nil"/>
              <w:left w:val="nil"/>
              <w:bottom w:val="single" w:sz="8" w:space="0" w:color="auto"/>
              <w:right w:val="single" w:sz="8" w:space="0" w:color="auto"/>
            </w:tcBorders>
            <w:vAlign w:val="center"/>
          </w:tcPr>
          <w:p w14:paraId="2C752FE0" w14:textId="2CAEB00E"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301</w:t>
            </w:r>
          </w:p>
        </w:tc>
        <w:tc>
          <w:tcPr>
            <w:tcW w:w="467" w:type="pct"/>
            <w:tcBorders>
              <w:top w:val="nil"/>
              <w:left w:val="nil"/>
              <w:bottom w:val="single" w:sz="8" w:space="0" w:color="auto"/>
              <w:right w:val="single" w:sz="8" w:space="0" w:color="auto"/>
            </w:tcBorders>
            <w:shd w:val="clear" w:color="000000" w:fill="D0CECE"/>
            <w:vAlign w:val="center"/>
          </w:tcPr>
          <w:p w14:paraId="6C32E70C" w14:textId="44A4D73C"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614</w:t>
            </w:r>
          </w:p>
        </w:tc>
      </w:tr>
      <w:tr w:rsidR="00A55933" w:rsidRPr="00A55933" w14:paraId="10D80433" w14:textId="77D69D7C" w:rsidTr="00A55933">
        <w:trPr>
          <w:trHeight w:val="1219"/>
          <w:jc w:val="center"/>
        </w:trPr>
        <w:tc>
          <w:tcPr>
            <w:tcW w:w="1461" w:type="pct"/>
            <w:shd w:val="clear" w:color="000000" w:fill="FFFFFF"/>
            <w:vAlign w:val="center"/>
            <w:hideMark/>
          </w:tcPr>
          <w:p w14:paraId="452CA057"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5225 Air-conditioning and refrigeration installers and repairers</w:t>
            </w:r>
          </w:p>
        </w:tc>
        <w:tc>
          <w:tcPr>
            <w:tcW w:w="567" w:type="pct"/>
            <w:vMerge w:val="restart"/>
            <w:shd w:val="clear" w:color="000000" w:fill="FFFFFF"/>
            <w:vAlign w:val="center"/>
            <w:hideMark/>
          </w:tcPr>
          <w:p w14:paraId="5C100923"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Skillset</w:t>
            </w:r>
          </w:p>
        </w:tc>
        <w:tc>
          <w:tcPr>
            <w:tcW w:w="631" w:type="pct"/>
            <w:vMerge w:val="restart"/>
            <w:shd w:val="clear" w:color="auto" w:fill="008C9B" w:themeFill="accent1"/>
            <w:vAlign w:val="center"/>
            <w:hideMark/>
          </w:tcPr>
          <w:p w14:paraId="6E3B7441" w14:textId="77777777" w:rsidR="00A55933" w:rsidRPr="00A55933" w:rsidRDefault="00A55933" w:rsidP="00A55933">
            <w:pPr>
              <w:spacing w:after="0"/>
              <w:jc w:val="center"/>
              <w:rPr>
                <w:rFonts w:eastAsia="Times New Roman" w:cs="Arial"/>
                <w:b/>
                <w:bCs/>
                <w:color w:val="auto"/>
                <w:sz w:val="16"/>
                <w:szCs w:val="16"/>
                <w:lang w:eastAsia="en-GB"/>
              </w:rPr>
            </w:pPr>
            <w:r w:rsidRPr="00A55933">
              <w:rPr>
                <w:rFonts w:eastAsia="Times New Roman" w:cs="Arial"/>
                <w:b/>
                <w:bCs/>
                <w:color w:val="FFFFFF" w:themeColor="background1"/>
                <w:sz w:val="16"/>
                <w:szCs w:val="16"/>
                <w:lang w:eastAsia="en-GB"/>
              </w:rPr>
              <w:t>Direct</w:t>
            </w:r>
          </w:p>
        </w:tc>
        <w:tc>
          <w:tcPr>
            <w:tcW w:w="468" w:type="pct"/>
            <w:tcBorders>
              <w:top w:val="nil"/>
              <w:left w:val="nil"/>
              <w:bottom w:val="single" w:sz="8" w:space="0" w:color="auto"/>
              <w:right w:val="single" w:sz="8" w:space="0" w:color="auto"/>
            </w:tcBorders>
            <w:shd w:val="clear" w:color="000000" w:fill="FFFFFF"/>
            <w:vAlign w:val="center"/>
            <w:hideMark/>
          </w:tcPr>
          <w:p w14:paraId="79E7DB12" w14:textId="33BE2B03"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847</w:t>
            </w:r>
          </w:p>
        </w:tc>
        <w:tc>
          <w:tcPr>
            <w:tcW w:w="470" w:type="pct"/>
            <w:tcBorders>
              <w:top w:val="nil"/>
              <w:left w:val="nil"/>
              <w:bottom w:val="single" w:sz="8" w:space="0" w:color="auto"/>
              <w:right w:val="single" w:sz="8" w:space="0" w:color="auto"/>
            </w:tcBorders>
            <w:shd w:val="clear" w:color="000000" w:fill="D0CECE"/>
            <w:vAlign w:val="center"/>
            <w:hideMark/>
          </w:tcPr>
          <w:p w14:paraId="4ECC2C50" w14:textId="045BC6A1"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442</w:t>
            </w:r>
          </w:p>
        </w:tc>
        <w:tc>
          <w:tcPr>
            <w:tcW w:w="468" w:type="pct"/>
            <w:tcBorders>
              <w:top w:val="nil"/>
              <w:left w:val="nil"/>
              <w:bottom w:val="single" w:sz="8" w:space="0" w:color="auto"/>
              <w:right w:val="single" w:sz="8" w:space="0" w:color="auto"/>
            </w:tcBorders>
            <w:shd w:val="clear" w:color="000000" w:fill="D0CECE"/>
            <w:vAlign w:val="center"/>
            <w:hideMark/>
          </w:tcPr>
          <w:p w14:paraId="09CCCCC3" w14:textId="573AA5BA"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95</w:t>
            </w:r>
          </w:p>
        </w:tc>
        <w:tc>
          <w:tcPr>
            <w:tcW w:w="468" w:type="pct"/>
            <w:tcBorders>
              <w:top w:val="nil"/>
              <w:left w:val="nil"/>
              <w:bottom w:val="single" w:sz="8" w:space="0" w:color="auto"/>
              <w:right w:val="single" w:sz="8" w:space="0" w:color="auto"/>
            </w:tcBorders>
            <w:shd w:val="clear" w:color="000000" w:fill="D0CECE"/>
            <w:vAlign w:val="center"/>
          </w:tcPr>
          <w:p w14:paraId="5AD3BDCC" w14:textId="7FF4BC17"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43</w:t>
            </w:r>
          </w:p>
        </w:tc>
        <w:tc>
          <w:tcPr>
            <w:tcW w:w="467" w:type="pct"/>
            <w:tcBorders>
              <w:top w:val="nil"/>
              <w:left w:val="nil"/>
              <w:bottom w:val="single" w:sz="8" w:space="0" w:color="auto"/>
              <w:right w:val="single" w:sz="8" w:space="0" w:color="auto"/>
            </w:tcBorders>
            <w:shd w:val="clear" w:color="000000" w:fill="D0CECE"/>
            <w:vAlign w:val="center"/>
          </w:tcPr>
          <w:p w14:paraId="7F648E10" w14:textId="6AE0B14B"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268</w:t>
            </w:r>
          </w:p>
        </w:tc>
      </w:tr>
      <w:tr w:rsidR="00A55933" w:rsidRPr="00A55933" w14:paraId="675BB447" w14:textId="4FAAEAEE" w:rsidTr="00A55933">
        <w:trPr>
          <w:trHeight w:val="1545"/>
          <w:jc w:val="center"/>
        </w:trPr>
        <w:tc>
          <w:tcPr>
            <w:tcW w:w="1461" w:type="pct"/>
            <w:shd w:val="clear" w:color="000000" w:fill="FFFFFF"/>
            <w:vAlign w:val="center"/>
            <w:hideMark/>
          </w:tcPr>
          <w:p w14:paraId="4A25C436"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5231 Vehicle technicians, mechanics and electricians</w:t>
            </w:r>
          </w:p>
        </w:tc>
        <w:tc>
          <w:tcPr>
            <w:tcW w:w="567" w:type="pct"/>
            <w:vMerge/>
            <w:vAlign w:val="center"/>
            <w:hideMark/>
          </w:tcPr>
          <w:p w14:paraId="25E5217D"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008C9B" w:themeFill="accent1"/>
            <w:vAlign w:val="center"/>
            <w:hideMark/>
          </w:tcPr>
          <w:p w14:paraId="62427207"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FFFFFF"/>
            <w:vAlign w:val="center"/>
            <w:hideMark/>
          </w:tcPr>
          <w:p w14:paraId="2A1D6A89" w14:textId="646A46AB"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8</w:t>
            </w:r>
            <w:r w:rsidR="007772F8" w:rsidRPr="007772F8">
              <w:rPr>
                <w:rFonts w:cs="Arial"/>
                <w:color w:val="000000" w:themeColor="text1"/>
                <w:sz w:val="16"/>
                <w:szCs w:val="16"/>
              </w:rPr>
              <w:t>,</w:t>
            </w:r>
            <w:r w:rsidRPr="007772F8">
              <w:rPr>
                <w:rFonts w:cs="Arial"/>
                <w:color w:val="000000" w:themeColor="text1"/>
                <w:sz w:val="16"/>
                <w:szCs w:val="16"/>
              </w:rPr>
              <w:t>049</w:t>
            </w:r>
          </w:p>
        </w:tc>
        <w:tc>
          <w:tcPr>
            <w:tcW w:w="470" w:type="pct"/>
            <w:tcBorders>
              <w:top w:val="nil"/>
              <w:left w:val="nil"/>
              <w:bottom w:val="single" w:sz="8" w:space="0" w:color="auto"/>
              <w:right w:val="single" w:sz="8" w:space="0" w:color="auto"/>
            </w:tcBorders>
            <w:shd w:val="clear" w:color="000000" w:fill="D0CECE"/>
            <w:vAlign w:val="center"/>
            <w:hideMark/>
          </w:tcPr>
          <w:p w14:paraId="458CC423" w14:textId="5C25F00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w:t>
            </w:r>
            <w:r w:rsidR="007772F8" w:rsidRPr="007772F8">
              <w:rPr>
                <w:rFonts w:cs="Calibri"/>
                <w:color w:val="000000" w:themeColor="text1"/>
                <w:sz w:val="16"/>
                <w:szCs w:val="16"/>
              </w:rPr>
              <w:t>,</w:t>
            </w:r>
            <w:r w:rsidRPr="007772F8">
              <w:rPr>
                <w:rFonts w:cs="Calibri"/>
                <w:color w:val="000000" w:themeColor="text1"/>
                <w:sz w:val="16"/>
                <w:szCs w:val="16"/>
              </w:rPr>
              <w:t>198</w:t>
            </w:r>
          </w:p>
        </w:tc>
        <w:tc>
          <w:tcPr>
            <w:tcW w:w="468" w:type="pct"/>
            <w:tcBorders>
              <w:top w:val="nil"/>
              <w:left w:val="nil"/>
              <w:bottom w:val="single" w:sz="8" w:space="0" w:color="auto"/>
              <w:right w:val="single" w:sz="8" w:space="0" w:color="auto"/>
            </w:tcBorders>
            <w:shd w:val="clear" w:color="000000" w:fill="D0CECE"/>
            <w:vAlign w:val="center"/>
            <w:hideMark/>
          </w:tcPr>
          <w:p w14:paraId="444D5FA9" w14:textId="28F9560E"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903</w:t>
            </w:r>
          </w:p>
        </w:tc>
        <w:tc>
          <w:tcPr>
            <w:tcW w:w="468" w:type="pct"/>
            <w:tcBorders>
              <w:top w:val="nil"/>
              <w:left w:val="nil"/>
              <w:bottom w:val="single" w:sz="8" w:space="0" w:color="auto"/>
              <w:right w:val="single" w:sz="8" w:space="0" w:color="auto"/>
            </w:tcBorders>
            <w:shd w:val="clear" w:color="000000" w:fill="D0CECE"/>
            <w:vAlign w:val="center"/>
          </w:tcPr>
          <w:p w14:paraId="15F9EDE7" w14:textId="006723F7"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406</w:t>
            </w:r>
          </w:p>
        </w:tc>
        <w:tc>
          <w:tcPr>
            <w:tcW w:w="467" w:type="pct"/>
            <w:tcBorders>
              <w:top w:val="nil"/>
              <w:left w:val="nil"/>
              <w:bottom w:val="single" w:sz="8" w:space="0" w:color="auto"/>
              <w:right w:val="single" w:sz="8" w:space="0" w:color="auto"/>
            </w:tcBorders>
            <w:shd w:val="clear" w:color="000000" w:fill="D0CECE"/>
            <w:vAlign w:val="center"/>
          </w:tcPr>
          <w:p w14:paraId="6B0394AF" w14:textId="36770C13"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w:t>
            </w:r>
            <w:r w:rsidR="007772F8" w:rsidRPr="007772F8">
              <w:rPr>
                <w:rFonts w:cs="Calibri"/>
                <w:color w:val="000000" w:themeColor="text1"/>
                <w:sz w:val="16"/>
                <w:szCs w:val="16"/>
              </w:rPr>
              <w:t>,</w:t>
            </w:r>
            <w:r w:rsidRPr="007772F8">
              <w:rPr>
                <w:rFonts w:cs="Calibri"/>
                <w:color w:val="000000" w:themeColor="text1"/>
                <w:sz w:val="16"/>
                <w:szCs w:val="16"/>
              </w:rPr>
              <w:t>543</w:t>
            </w:r>
          </w:p>
        </w:tc>
      </w:tr>
      <w:tr w:rsidR="00A55933" w:rsidRPr="00A55933" w14:paraId="2F26A02D" w14:textId="036BF0D1" w:rsidTr="00A55933">
        <w:trPr>
          <w:trHeight w:val="1800"/>
          <w:jc w:val="center"/>
        </w:trPr>
        <w:tc>
          <w:tcPr>
            <w:tcW w:w="1461" w:type="pct"/>
            <w:shd w:val="clear" w:color="000000" w:fill="FFFFFF"/>
            <w:vAlign w:val="center"/>
            <w:hideMark/>
          </w:tcPr>
          <w:p w14:paraId="441FF87C"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5242 Telecoms and related network installers and repairers</w:t>
            </w:r>
          </w:p>
        </w:tc>
        <w:tc>
          <w:tcPr>
            <w:tcW w:w="567" w:type="pct"/>
            <w:vMerge/>
            <w:vAlign w:val="center"/>
            <w:hideMark/>
          </w:tcPr>
          <w:p w14:paraId="198C8E15"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008C9B" w:themeFill="accent1"/>
            <w:vAlign w:val="center"/>
            <w:hideMark/>
          </w:tcPr>
          <w:p w14:paraId="403377B9"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1184C19C" w14:textId="1016F738"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3</w:t>
            </w:r>
            <w:r w:rsidR="007772F8" w:rsidRPr="007772F8">
              <w:rPr>
                <w:rFonts w:cs="Arial"/>
                <w:color w:val="000000" w:themeColor="text1"/>
                <w:sz w:val="16"/>
                <w:szCs w:val="16"/>
              </w:rPr>
              <w:t>,</w:t>
            </w:r>
            <w:r w:rsidRPr="007772F8">
              <w:rPr>
                <w:rFonts w:cs="Arial"/>
                <w:color w:val="000000" w:themeColor="text1"/>
                <w:sz w:val="16"/>
                <w:szCs w:val="16"/>
              </w:rPr>
              <w:t>033</w:t>
            </w:r>
          </w:p>
        </w:tc>
        <w:tc>
          <w:tcPr>
            <w:tcW w:w="470" w:type="pct"/>
            <w:tcBorders>
              <w:top w:val="nil"/>
              <w:left w:val="nil"/>
              <w:bottom w:val="single" w:sz="8" w:space="0" w:color="auto"/>
              <w:right w:val="single" w:sz="8" w:space="0" w:color="auto"/>
            </w:tcBorders>
            <w:shd w:val="clear" w:color="000000" w:fill="D0CECE"/>
            <w:vAlign w:val="center"/>
            <w:hideMark/>
          </w:tcPr>
          <w:p w14:paraId="2D044980" w14:textId="5C16C94D"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582</w:t>
            </w:r>
          </w:p>
        </w:tc>
        <w:tc>
          <w:tcPr>
            <w:tcW w:w="468" w:type="pct"/>
            <w:tcBorders>
              <w:top w:val="nil"/>
              <w:left w:val="nil"/>
              <w:bottom w:val="single" w:sz="8" w:space="0" w:color="auto"/>
              <w:right w:val="single" w:sz="8" w:space="0" w:color="auto"/>
            </w:tcBorders>
            <w:shd w:val="clear" w:color="000000" w:fill="D0CECE"/>
            <w:vAlign w:val="center"/>
            <w:hideMark/>
          </w:tcPr>
          <w:p w14:paraId="18848673" w14:textId="4434DD35"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340</w:t>
            </w:r>
          </w:p>
        </w:tc>
        <w:tc>
          <w:tcPr>
            <w:tcW w:w="468" w:type="pct"/>
            <w:tcBorders>
              <w:top w:val="nil"/>
              <w:left w:val="nil"/>
              <w:bottom w:val="single" w:sz="8" w:space="0" w:color="auto"/>
              <w:right w:val="single" w:sz="8" w:space="0" w:color="auto"/>
            </w:tcBorders>
            <w:shd w:val="clear" w:color="000000" w:fill="D0CECE"/>
            <w:vAlign w:val="center"/>
          </w:tcPr>
          <w:p w14:paraId="1BEABAD2" w14:textId="3B17099B"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153</w:t>
            </w:r>
          </w:p>
        </w:tc>
        <w:tc>
          <w:tcPr>
            <w:tcW w:w="467" w:type="pct"/>
            <w:tcBorders>
              <w:top w:val="nil"/>
              <w:left w:val="nil"/>
              <w:bottom w:val="single" w:sz="8" w:space="0" w:color="auto"/>
              <w:right w:val="single" w:sz="8" w:space="0" w:color="auto"/>
            </w:tcBorders>
            <w:shd w:val="clear" w:color="000000" w:fill="D0CECE"/>
            <w:vAlign w:val="center"/>
          </w:tcPr>
          <w:p w14:paraId="5F02437D" w14:textId="7DD8407E"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958</w:t>
            </w:r>
          </w:p>
        </w:tc>
      </w:tr>
      <w:tr w:rsidR="00A55933" w:rsidRPr="00A55933" w14:paraId="1B857ABE" w14:textId="74E3E9C6" w:rsidTr="00A55933">
        <w:trPr>
          <w:trHeight w:val="1219"/>
          <w:jc w:val="center"/>
        </w:trPr>
        <w:tc>
          <w:tcPr>
            <w:tcW w:w="1461" w:type="pct"/>
            <w:shd w:val="clear" w:color="000000" w:fill="FFFFFF"/>
            <w:vAlign w:val="center"/>
            <w:hideMark/>
          </w:tcPr>
          <w:p w14:paraId="77DBB33D"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lastRenderedPageBreak/>
              <w:t>5246 Electrical service and maintenance mechanics and repairers</w:t>
            </w:r>
          </w:p>
        </w:tc>
        <w:tc>
          <w:tcPr>
            <w:tcW w:w="567" w:type="pct"/>
            <w:vMerge/>
            <w:vAlign w:val="center"/>
            <w:hideMark/>
          </w:tcPr>
          <w:p w14:paraId="427823A5"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008C9B" w:themeFill="accent1"/>
            <w:vAlign w:val="center"/>
            <w:hideMark/>
          </w:tcPr>
          <w:p w14:paraId="15FC4DC8"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0B40A729" w14:textId="71358462"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1</w:t>
            </w:r>
            <w:r w:rsidR="007772F8" w:rsidRPr="007772F8">
              <w:rPr>
                <w:rFonts w:cs="Arial"/>
                <w:color w:val="000000" w:themeColor="text1"/>
                <w:sz w:val="16"/>
                <w:szCs w:val="16"/>
              </w:rPr>
              <w:t>,</w:t>
            </w:r>
            <w:r w:rsidRPr="007772F8">
              <w:rPr>
                <w:rFonts w:cs="Arial"/>
                <w:color w:val="000000" w:themeColor="text1"/>
                <w:sz w:val="16"/>
                <w:szCs w:val="16"/>
              </w:rPr>
              <w:t>739</w:t>
            </w:r>
          </w:p>
        </w:tc>
        <w:tc>
          <w:tcPr>
            <w:tcW w:w="470" w:type="pct"/>
            <w:tcBorders>
              <w:top w:val="nil"/>
              <w:left w:val="nil"/>
              <w:bottom w:val="single" w:sz="8" w:space="0" w:color="auto"/>
              <w:right w:val="single" w:sz="8" w:space="0" w:color="auto"/>
            </w:tcBorders>
            <w:shd w:val="clear" w:color="000000" w:fill="D0CECE"/>
            <w:vAlign w:val="center"/>
            <w:hideMark/>
          </w:tcPr>
          <w:p w14:paraId="4A597788" w14:textId="1B27E216"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907</w:t>
            </w:r>
          </w:p>
        </w:tc>
        <w:tc>
          <w:tcPr>
            <w:tcW w:w="468" w:type="pct"/>
            <w:tcBorders>
              <w:top w:val="nil"/>
              <w:left w:val="nil"/>
              <w:bottom w:val="single" w:sz="8" w:space="0" w:color="auto"/>
              <w:right w:val="single" w:sz="8" w:space="0" w:color="auto"/>
            </w:tcBorders>
            <w:shd w:val="clear" w:color="000000" w:fill="D0CECE"/>
            <w:vAlign w:val="center"/>
            <w:hideMark/>
          </w:tcPr>
          <w:p w14:paraId="654B799D" w14:textId="3362D1B7"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195</w:t>
            </w:r>
          </w:p>
        </w:tc>
        <w:tc>
          <w:tcPr>
            <w:tcW w:w="468" w:type="pct"/>
            <w:tcBorders>
              <w:top w:val="nil"/>
              <w:left w:val="nil"/>
              <w:bottom w:val="single" w:sz="8" w:space="0" w:color="auto"/>
              <w:right w:val="single" w:sz="8" w:space="0" w:color="auto"/>
            </w:tcBorders>
            <w:shd w:val="clear" w:color="000000" w:fill="D0CECE"/>
            <w:vAlign w:val="center"/>
          </w:tcPr>
          <w:p w14:paraId="05D3F2C4" w14:textId="71141618"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88</w:t>
            </w:r>
          </w:p>
        </w:tc>
        <w:tc>
          <w:tcPr>
            <w:tcW w:w="467" w:type="pct"/>
            <w:tcBorders>
              <w:top w:val="nil"/>
              <w:left w:val="nil"/>
              <w:bottom w:val="single" w:sz="8" w:space="0" w:color="auto"/>
              <w:right w:val="single" w:sz="8" w:space="0" w:color="auto"/>
            </w:tcBorders>
            <w:shd w:val="clear" w:color="000000" w:fill="D0CECE"/>
            <w:vAlign w:val="center"/>
          </w:tcPr>
          <w:p w14:paraId="668C4930" w14:textId="2AA094E6"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549</w:t>
            </w:r>
          </w:p>
        </w:tc>
      </w:tr>
      <w:tr w:rsidR="00A55933" w:rsidRPr="00A55933" w14:paraId="5380AEF2" w14:textId="2EE0A4CF" w:rsidTr="00A55933">
        <w:trPr>
          <w:trHeight w:val="1219"/>
          <w:jc w:val="center"/>
        </w:trPr>
        <w:tc>
          <w:tcPr>
            <w:tcW w:w="1461" w:type="pct"/>
            <w:shd w:val="clear" w:color="000000" w:fill="FFFFFF"/>
            <w:vAlign w:val="center"/>
            <w:hideMark/>
          </w:tcPr>
          <w:p w14:paraId="6AC2846B"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8159 Construction operatives n.e.c.</w:t>
            </w:r>
          </w:p>
        </w:tc>
        <w:tc>
          <w:tcPr>
            <w:tcW w:w="567" w:type="pct"/>
            <w:vMerge/>
            <w:vAlign w:val="center"/>
            <w:hideMark/>
          </w:tcPr>
          <w:p w14:paraId="435EDBF5" w14:textId="77777777" w:rsidR="00A55933" w:rsidRPr="00A55933" w:rsidRDefault="00A55933" w:rsidP="00A55933">
            <w:pPr>
              <w:spacing w:after="0"/>
              <w:rPr>
                <w:rFonts w:eastAsia="Times New Roman" w:cs="Arial"/>
                <w:color w:val="auto"/>
                <w:sz w:val="16"/>
                <w:szCs w:val="16"/>
                <w:lang w:eastAsia="en-GB"/>
              </w:rPr>
            </w:pPr>
          </w:p>
        </w:tc>
        <w:tc>
          <w:tcPr>
            <w:tcW w:w="631" w:type="pct"/>
            <w:vMerge/>
            <w:shd w:val="clear" w:color="auto" w:fill="008C9B" w:themeFill="accent1"/>
            <w:vAlign w:val="center"/>
            <w:hideMark/>
          </w:tcPr>
          <w:p w14:paraId="29290CBD" w14:textId="77777777" w:rsidR="00A55933" w:rsidRPr="00A55933" w:rsidRDefault="00A55933" w:rsidP="00A55933">
            <w:pPr>
              <w:spacing w:after="0"/>
              <w:rPr>
                <w:rFonts w:eastAsia="Times New Roman" w:cs="Arial"/>
                <w:color w:val="auto"/>
                <w:sz w:val="16"/>
                <w:szCs w:val="16"/>
                <w:lang w:eastAsia="en-GB"/>
              </w:rPr>
            </w:pPr>
          </w:p>
        </w:tc>
        <w:tc>
          <w:tcPr>
            <w:tcW w:w="468" w:type="pct"/>
            <w:tcBorders>
              <w:top w:val="nil"/>
              <w:left w:val="nil"/>
              <w:bottom w:val="single" w:sz="8" w:space="0" w:color="auto"/>
              <w:right w:val="single" w:sz="8" w:space="0" w:color="auto"/>
            </w:tcBorders>
            <w:shd w:val="clear" w:color="000000" w:fill="D0CECE"/>
            <w:vAlign w:val="center"/>
            <w:hideMark/>
          </w:tcPr>
          <w:p w14:paraId="26DA741F" w14:textId="2D2495A5"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4</w:t>
            </w:r>
            <w:r w:rsidR="007772F8" w:rsidRPr="007772F8">
              <w:rPr>
                <w:rFonts w:cs="Arial"/>
                <w:color w:val="000000" w:themeColor="text1"/>
                <w:sz w:val="16"/>
                <w:szCs w:val="16"/>
              </w:rPr>
              <w:t>,</w:t>
            </w:r>
            <w:r w:rsidRPr="007772F8">
              <w:rPr>
                <w:rFonts w:cs="Arial"/>
                <w:color w:val="000000" w:themeColor="text1"/>
                <w:sz w:val="16"/>
                <w:szCs w:val="16"/>
              </w:rPr>
              <w:t>317</w:t>
            </w:r>
          </w:p>
        </w:tc>
        <w:tc>
          <w:tcPr>
            <w:tcW w:w="470" w:type="pct"/>
            <w:tcBorders>
              <w:top w:val="nil"/>
              <w:left w:val="nil"/>
              <w:bottom w:val="single" w:sz="8" w:space="0" w:color="auto"/>
              <w:right w:val="single" w:sz="8" w:space="0" w:color="auto"/>
            </w:tcBorders>
            <w:shd w:val="clear" w:color="000000" w:fill="D0CECE"/>
            <w:vAlign w:val="center"/>
            <w:hideMark/>
          </w:tcPr>
          <w:p w14:paraId="25A58B5A" w14:textId="6F8DA019"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2</w:t>
            </w:r>
            <w:r w:rsidR="007772F8" w:rsidRPr="007772F8">
              <w:rPr>
                <w:rFonts w:cs="Calibri"/>
                <w:color w:val="000000" w:themeColor="text1"/>
                <w:sz w:val="16"/>
                <w:szCs w:val="16"/>
              </w:rPr>
              <w:t>,</w:t>
            </w:r>
            <w:r w:rsidRPr="007772F8">
              <w:rPr>
                <w:rFonts w:cs="Calibri"/>
                <w:color w:val="000000" w:themeColor="text1"/>
                <w:sz w:val="16"/>
                <w:szCs w:val="16"/>
              </w:rPr>
              <w:t>055</w:t>
            </w:r>
          </w:p>
        </w:tc>
        <w:tc>
          <w:tcPr>
            <w:tcW w:w="468" w:type="pct"/>
            <w:tcBorders>
              <w:top w:val="nil"/>
              <w:left w:val="nil"/>
              <w:bottom w:val="single" w:sz="8" w:space="0" w:color="auto"/>
              <w:right w:val="single" w:sz="8" w:space="0" w:color="auto"/>
            </w:tcBorders>
            <w:shd w:val="clear" w:color="000000" w:fill="D0CECE"/>
            <w:vAlign w:val="center"/>
            <w:hideMark/>
          </w:tcPr>
          <w:p w14:paraId="5ADFB71D" w14:textId="426C4B6B"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435</w:t>
            </w:r>
          </w:p>
        </w:tc>
        <w:tc>
          <w:tcPr>
            <w:tcW w:w="468" w:type="pct"/>
            <w:tcBorders>
              <w:top w:val="nil"/>
              <w:left w:val="nil"/>
              <w:bottom w:val="single" w:sz="8" w:space="0" w:color="auto"/>
              <w:right w:val="single" w:sz="8" w:space="0" w:color="auto"/>
            </w:tcBorders>
            <w:shd w:val="clear" w:color="000000" w:fill="D0CECE"/>
            <w:vAlign w:val="center"/>
          </w:tcPr>
          <w:p w14:paraId="53A44B94" w14:textId="4F9624DB"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315</w:t>
            </w:r>
          </w:p>
        </w:tc>
        <w:tc>
          <w:tcPr>
            <w:tcW w:w="467" w:type="pct"/>
            <w:tcBorders>
              <w:top w:val="nil"/>
              <w:left w:val="nil"/>
              <w:bottom w:val="single" w:sz="8" w:space="0" w:color="auto"/>
              <w:right w:val="single" w:sz="8" w:space="0" w:color="auto"/>
            </w:tcBorders>
            <w:shd w:val="clear" w:color="000000" w:fill="D0CECE"/>
            <w:vAlign w:val="center"/>
          </w:tcPr>
          <w:p w14:paraId="7B1F6207" w14:textId="2743D206"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511</w:t>
            </w:r>
          </w:p>
        </w:tc>
      </w:tr>
      <w:tr w:rsidR="00A55933" w:rsidRPr="00A55933" w14:paraId="214B158A" w14:textId="7E0095A8" w:rsidTr="00A55933">
        <w:trPr>
          <w:trHeight w:val="1219"/>
          <w:jc w:val="center"/>
        </w:trPr>
        <w:tc>
          <w:tcPr>
            <w:tcW w:w="1461" w:type="pct"/>
            <w:shd w:val="clear" w:color="000000" w:fill="FFFFFF"/>
            <w:vAlign w:val="center"/>
            <w:hideMark/>
          </w:tcPr>
          <w:p w14:paraId="0AC46AD6"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9121 Groundworkers</w:t>
            </w:r>
          </w:p>
        </w:tc>
        <w:tc>
          <w:tcPr>
            <w:tcW w:w="567" w:type="pct"/>
            <w:vMerge/>
            <w:vAlign w:val="center"/>
            <w:hideMark/>
          </w:tcPr>
          <w:p w14:paraId="2C433CF4" w14:textId="77777777" w:rsidR="00A55933" w:rsidRPr="00A55933" w:rsidRDefault="00A55933" w:rsidP="00A55933">
            <w:pPr>
              <w:spacing w:after="0"/>
              <w:rPr>
                <w:rFonts w:eastAsia="Times New Roman" w:cs="Arial"/>
                <w:color w:val="auto"/>
                <w:sz w:val="16"/>
                <w:szCs w:val="16"/>
                <w:lang w:eastAsia="en-GB"/>
              </w:rPr>
            </w:pPr>
          </w:p>
        </w:tc>
        <w:tc>
          <w:tcPr>
            <w:tcW w:w="631" w:type="pct"/>
            <w:shd w:val="clear" w:color="auto" w:fill="2AEAFF" w:themeFill="accent1" w:themeFillTint="99"/>
            <w:vAlign w:val="center"/>
            <w:hideMark/>
          </w:tcPr>
          <w:p w14:paraId="2A8632BC" w14:textId="77777777" w:rsidR="00A55933" w:rsidRPr="00A55933" w:rsidRDefault="00A55933" w:rsidP="00A55933">
            <w:pPr>
              <w:spacing w:after="0"/>
              <w:jc w:val="center"/>
              <w:rPr>
                <w:rFonts w:eastAsia="Times New Roman" w:cs="Arial"/>
                <w:b/>
                <w:bCs/>
                <w:color w:val="auto"/>
                <w:sz w:val="16"/>
                <w:szCs w:val="16"/>
                <w:lang w:eastAsia="en-GB"/>
              </w:rPr>
            </w:pPr>
            <w:r w:rsidRPr="00A55933">
              <w:rPr>
                <w:rFonts w:eastAsia="Times New Roman" w:cs="Arial"/>
                <w:b/>
                <w:bCs/>
                <w:color w:val="auto"/>
                <w:sz w:val="16"/>
                <w:szCs w:val="16"/>
                <w:lang w:eastAsia="en-GB"/>
              </w:rPr>
              <w:t>Support</w:t>
            </w:r>
          </w:p>
        </w:tc>
        <w:tc>
          <w:tcPr>
            <w:tcW w:w="468" w:type="pct"/>
            <w:tcBorders>
              <w:top w:val="nil"/>
              <w:left w:val="nil"/>
              <w:bottom w:val="single" w:sz="8" w:space="0" w:color="auto"/>
              <w:right w:val="single" w:sz="8" w:space="0" w:color="auto"/>
            </w:tcBorders>
            <w:shd w:val="clear" w:color="000000" w:fill="D0CECE"/>
            <w:vAlign w:val="center"/>
            <w:hideMark/>
          </w:tcPr>
          <w:p w14:paraId="795524D2" w14:textId="6FDCFC3B"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1</w:t>
            </w:r>
            <w:r w:rsidR="007772F8" w:rsidRPr="007772F8">
              <w:rPr>
                <w:rFonts w:cs="Arial"/>
                <w:color w:val="000000" w:themeColor="text1"/>
                <w:sz w:val="16"/>
                <w:szCs w:val="16"/>
              </w:rPr>
              <w:t>,</w:t>
            </w:r>
            <w:r w:rsidRPr="007772F8">
              <w:rPr>
                <w:rFonts w:cs="Arial"/>
                <w:color w:val="000000" w:themeColor="text1"/>
                <w:sz w:val="16"/>
                <w:szCs w:val="16"/>
              </w:rPr>
              <w:t>376</w:t>
            </w:r>
          </w:p>
        </w:tc>
        <w:tc>
          <w:tcPr>
            <w:tcW w:w="470" w:type="pct"/>
            <w:tcBorders>
              <w:top w:val="nil"/>
              <w:left w:val="nil"/>
              <w:bottom w:val="single" w:sz="8" w:space="0" w:color="auto"/>
              <w:right w:val="single" w:sz="8" w:space="0" w:color="auto"/>
            </w:tcBorders>
            <w:shd w:val="clear" w:color="000000" w:fill="D0CECE"/>
            <w:vAlign w:val="center"/>
            <w:hideMark/>
          </w:tcPr>
          <w:p w14:paraId="527273EA" w14:textId="4C9B8C4F"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470</w:t>
            </w:r>
          </w:p>
        </w:tc>
        <w:tc>
          <w:tcPr>
            <w:tcW w:w="468" w:type="pct"/>
            <w:tcBorders>
              <w:top w:val="nil"/>
              <w:left w:val="nil"/>
              <w:bottom w:val="single" w:sz="8" w:space="0" w:color="auto"/>
              <w:right w:val="single" w:sz="8" w:space="0" w:color="auto"/>
            </w:tcBorders>
            <w:shd w:val="clear" w:color="000000" w:fill="D0CECE"/>
            <w:vAlign w:val="center"/>
            <w:hideMark/>
          </w:tcPr>
          <w:p w14:paraId="0BD5B9F1" w14:textId="0DD31A84"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336</w:t>
            </w:r>
          </w:p>
        </w:tc>
        <w:tc>
          <w:tcPr>
            <w:tcW w:w="468" w:type="pct"/>
            <w:tcBorders>
              <w:top w:val="nil"/>
              <w:left w:val="nil"/>
              <w:bottom w:val="single" w:sz="8" w:space="0" w:color="auto"/>
              <w:right w:val="single" w:sz="8" w:space="0" w:color="auto"/>
            </w:tcBorders>
            <w:shd w:val="clear" w:color="000000" w:fill="D0CECE"/>
            <w:vAlign w:val="center"/>
          </w:tcPr>
          <w:p w14:paraId="19A0F351" w14:textId="76ACEA21"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126</w:t>
            </w:r>
          </w:p>
        </w:tc>
        <w:tc>
          <w:tcPr>
            <w:tcW w:w="467" w:type="pct"/>
            <w:tcBorders>
              <w:top w:val="nil"/>
              <w:left w:val="nil"/>
              <w:bottom w:val="single" w:sz="8" w:space="0" w:color="auto"/>
              <w:right w:val="single" w:sz="8" w:space="0" w:color="auto"/>
            </w:tcBorders>
            <w:shd w:val="clear" w:color="000000" w:fill="D0CECE"/>
            <w:vAlign w:val="center"/>
          </w:tcPr>
          <w:p w14:paraId="777A5C9E" w14:textId="629EEC52"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445</w:t>
            </w:r>
          </w:p>
        </w:tc>
      </w:tr>
      <w:tr w:rsidR="00A55933" w:rsidRPr="00A55933" w14:paraId="1020A811" w14:textId="2C400CB7" w:rsidTr="00A55933">
        <w:trPr>
          <w:trHeight w:val="1219"/>
          <w:jc w:val="center"/>
        </w:trPr>
        <w:tc>
          <w:tcPr>
            <w:tcW w:w="1461" w:type="pct"/>
            <w:shd w:val="clear" w:color="000000" w:fill="FFFFFF"/>
            <w:vAlign w:val="center"/>
            <w:hideMark/>
          </w:tcPr>
          <w:p w14:paraId="58861171" w14:textId="77777777" w:rsidR="00A55933" w:rsidRPr="00A55933" w:rsidRDefault="00A55933" w:rsidP="00A55933">
            <w:pPr>
              <w:spacing w:after="0"/>
              <w:jc w:val="center"/>
              <w:rPr>
                <w:rFonts w:eastAsia="Times New Roman" w:cs="Arial"/>
                <w:color w:val="auto"/>
                <w:sz w:val="16"/>
                <w:szCs w:val="16"/>
                <w:lang w:eastAsia="en-GB"/>
              </w:rPr>
            </w:pPr>
            <w:r w:rsidRPr="00A55933">
              <w:rPr>
                <w:rFonts w:eastAsia="Times New Roman" w:cs="Arial"/>
                <w:color w:val="auto"/>
                <w:sz w:val="16"/>
                <w:szCs w:val="16"/>
                <w:lang w:eastAsia="en-GB"/>
              </w:rPr>
              <w:t>3574 Other vocational and industrial trainers</w:t>
            </w:r>
          </w:p>
        </w:tc>
        <w:tc>
          <w:tcPr>
            <w:tcW w:w="567" w:type="pct"/>
            <w:vMerge/>
            <w:vAlign w:val="center"/>
            <w:hideMark/>
          </w:tcPr>
          <w:p w14:paraId="2A5812BD" w14:textId="77777777" w:rsidR="00A55933" w:rsidRPr="00A55933" w:rsidRDefault="00A55933" w:rsidP="00A55933">
            <w:pPr>
              <w:spacing w:after="0"/>
              <w:rPr>
                <w:rFonts w:eastAsia="Times New Roman" w:cs="Arial"/>
                <w:color w:val="auto"/>
                <w:sz w:val="16"/>
                <w:szCs w:val="16"/>
                <w:lang w:eastAsia="en-GB"/>
              </w:rPr>
            </w:pPr>
          </w:p>
        </w:tc>
        <w:tc>
          <w:tcPr>
            <w:tcW w:w="631" w:type="pct"/>
            <w:shd w:val="clear" w:color="auto" w:fill="B8F8FF" w:themeFill="text2" w:themeFillTint="33"/>
            <w:vAlign w:val="center"/>
            <w:hideMark/>
          </w:tcPr>
          <w:p w14:paraId="0FD3ABB6" w14:textId="77777777" w:rsidR="00A55933" w:rsidRPr="00A55933" w:rsidRDefault="00A55933" w:rsidP="00A55933">
            <w:pPr>
              <w:spacing w:after="0"/>
              <w:jc w:val="center"/>
              <w:rPr>
                <w:rFonts w:eastAsia="Times New Roman" w:cs="Arial"/>
                <w:b/>
                <w:bCs/>
                <w:color w:val="auto"/>
                <w:sz w:val="16"/>
                <w:szCs w:val="16"/>
                <w:lang w:eastAsia="en-GB"/>
              </w:rPr>
            </w:pPr>
            <w:r w:rsidRPr="00A55933">
              <w:rPr>
                <w:rFonts w:eastAsia="Times New Roman" w:cs="Arial"/>
                <w:b/>
                <w:bCs/>
                <w:color w:val="auto"/>
                <w:sz w:val="16"/>
                <w:szCs w:val="16"/>
                <w:lang w:eastAsia="en-GB"/>
              </w:rPr>
              <w:t>Supervisory</w:t>
            </w:r>
          </w:p>
        </w:tc>
        <w:tc>
          <w:tcPr>
            <w:tcW w:w="468" w:type="pct"/>
            <w:tcBorders>
              <w:top w:val="nil"/>
              <w:left w:val="nil"/>
              <w:bottom w:val="single" w:sz="8" w:space="0" w:color="auto"/>
              <w:right w:val="single" w:sz="8" w:space="0" w:color="auto"/>
            </w:tcBorders>
            <w:shd w:val="clear" w:color="000000" w:fill="FFFFFF"/>
            <w:vAlign w:val="center"/>
            <w:hideMark/>
          </w:tcPr>
          <w:p w14:paraId="466F30CB" w14:textId="0BC54B4A" w:rsidR="00A55933" w:rsidRPr="007772F8" w:rsidRDefault="00A55933" w:rsidP="00A55933">
            <w:pPr>
              <w:spacing w:after="0"/>
              <w:jc w:val="center"/>
              <w:rPr>
                <w:rFonts w:eastAsia="Times New Roman" w:cs="Arial"/>
                <w:color w:val="000000" w:themeColor="text1"/>
                <w:sz w:val="16"/>
                <w:szCs w:val="16"/>
                <w:lang w:eastAsia="en-GB"/>
              </w:rPr>
            </w:pPr>
            <w:r w:rsidRPr="007772F8">
              <w:rPr>
                <w:rFonts w:cs="Arial"/>
                <w:color w:val="000000" w:themeColor="text1"/>
                <w:sz w:val="16"/>
                <w:szCs w:val="16"/>
              </w:rPr>
              <w:t>11</w:t>
            </w:r>
            <w:r w:rsidR="007772F8" w:rsidRPr="007772F8">
              <w:rPr>
                <w:rFonts w:cs="Arial"/>
                <w:color w:val="000000" w:themeColor="text1"/>
                <w:sz w:val="16"/>
                <w:szCs w:val="16"/>
              </w:rPr>
              <w:t>,</w:t>
            </w:r>
            <w:r w:rsidRPr="007772F8">
              <w:rPr>
                <w:rFonts w:cs="Arial"/>
                <w:color w:val="000000" w:themeColor="text1"/>
                <w:sz w:val="16"/>
                <w:szCs w:val="16"/>
              </w:rPr>
              <w:t>053</w:t>
            </w:r>
          </w:p>
        </w:tc>
        <w:tc>
          <w:tcPr>
            <w:tcW w:w="470" w:type="pct"/>
            <w:tcBorders>
              <w:top w:val="nil"/>
              <w:left w:val="nil"/>
              <w:bottom w:val="single" w:sz="8" w:space="0" w:color="auto"/>
              <w:right w:val="single" w:sz="8" w:space="0" w:color="auto"/>
            </w:tcBorders>
            <w:shd w:val="clear" w:color="000000" w:fill="D0CECE"/>
            <w:vAlign w:val="center"/>
            <w:hideMark/>
          </w:tcPr>
          <w:p w14:paraId="32AFC71F" w14:textId="2AE60012"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5</w:t>
            </w:r>
            <w:r w:rsidR="007772F8" w:rsidRPr="007772F8">
              <w:rPr>
                <w:rFonts w:cs="Calibri"/>
                <w:color w:val="000000" w:themeColor="text1"/>
                <w:sz w:val="16"/>
                <w:szCs w:val="16"/>
              </w:rPr>
              <w:t>,</w:t>
            </w:r>
            <w:r w:rsidRPr="007772F8">
              <w:rPr>
                <w:rFonts w:cs="Calibri"/>
                <w:color w:val="000000" w:themeColor="text1"/>
                <w:sz w:val="16"/>
                <w:szCs w:val="16"/>
              </w:rPr>
              <w:t>549</w:t>
            </w:r>
          </w:p>
        </w:tc>
        <w:tc>
          <w:tcPr>
            <w:tcW w:w="468" w:type="pct"/>
            <w:tcBorders>
              <w:top w:val="nil"/>
              <w:left w:val="nil"/>
              <w:bottom w:val="single" w:sz="8" w:space="0" w:color="auto"/>
              <w:right w:val="single" w:sz="8" w:space="0" w:color="auto"/>
            </w:tcBorders>
            <w:vAlign w:val="center"/>
            <w:hideMark/>
          </w:tcPr>
          <w:p w14:paraId="1C76AEE7" w14:textId="549D7021"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156</w:t>
            </w:r>
          </w:p>
        </w:tc>
        <w:tc>
          <w:tcPr>
            <w:tcW w:w="468" w:type="pct"/>
            <w:tcBorders>
              <w:top w:val="nil"/>
              <w:left w:val="nil"/>
              <w:bottom w:val="single" w:sz="8" w:space="0" w:color="auto"/>
              <w:right w:val="single" w:sz="8" w:space="0" w:color="auto"/>
            </w:tcBorders>
            <w:vAlign w:val="center"/>
          </w:tcPr>
          <w:p w14:paraId="61FE6141" w14:textId="36E387AB"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1</w:t>
            </w:r>
            <w:r w:rsidR="007772F8" w:rsidRPr="007772F8">
              <w:rPr>
                <w:rFonts w:cs="Calibri"/>
                <w:color w:val="000000" w:themeColor="text1"/>
                <w:sz w:val="16"/>
                <w:szCs w:val="16"/>
              </w:rPr>
              <w:t>,</w:t>
            </w:r>
            <w:r w:rsidRPr="007772F8">
              <w:rPr>
                <w:rFonts w:cs="Calibri"/>
                <w:color w:val="000000" w:themeColor="text1"/>
                <w:sz w:val="16"/>
                <w:szCs w:val="16"/>
              </w:rPr>
              <w:t>167</w:t>
            </w:r>
          </w:p>
        </w:tc>
        <w:tc>
          <w:tcPr>
            <w:tcW w:w="467" w:type="pct"/>
            <w:tcBorders>
              <w:top w:val="nil"/>
              <w:left w:val="nil"/>
              <w:bottom w:val="single" w:sz="8" w:space="0" w:color="auto"/>
              <w:right w:val="single" w:sz="8" w:space="0" w:color="auto"/>
            </w:tcBorders>
            <w:shd w:val="clear" w:color="000000" w:fill="D0CECE"/>
            <w:vAlign w:val="center"/>
          </w:tcPr>
          <w:p w14:paraId="303490F0" w14:textId="51D87141" w:rsidR="00A55933" w:rsidRPr="007772F8" w:rsidRDefault="00A55933" w:rsidP="00A55933">
            <w:pPr>
              <w:spacing w:after="0"/>
              <w:jc w:val="center"/>
              <w:rPr>
                <w:rFonts w:eastAsia="Times New Roman" w:cs="Calibri"/>
                <w:color w:val="000000" w:themeColor="text1"/>
                <w:sz w:val="16"/>
                <w:szCs w:val="16"/>
                <w:lang w:eastAsia="en-GB"/>
              </w:rPr>
            </w:pPr>
            <w:r w:rsidRPr="007772F8">
              <w:rPr>
                <w:rFonts w:cs="Calibri"/>
                <w:color w:val="000000" w:themeColor="text1"/>
                <w:sz w:val="16"/>
                <w:szCs w:val="16"/>
              </w:rPr>
              <w:t>3</w:t>
            </w:r>
            <w:r w:rsidR="007772F8" w:rsidRPr="007772F8">
              <w:rPr>
                <w:rFonts w:cs="Calibri"/>
                <w:color w:val="000000" w:themeColor="text1"/>
                <w:sz w:val="16"/>
                <w:szCs w:val="16"/>
              </w:rPr>
              <w:t>,</w:t>
            </w:r>
            <w:r w:rsidRPr="007772F8">
              <w:rPr>
                <w:rFonts w:cs="Calibri"/>
                <w:color w:val="000000" w:themeColor="text1"/>
                <w:sz w:val="16"/>
                <w:szCs w:val="16"/>
              </w:rPr>
              <w:t>181</w:t>
            </w:r>
          </w:p>
        </w:tc>
      </w:tr>
    </w:tbl>
    <w:p w14:paraId="450244A1" w14:textId="1B4566E8" w:rsidR="0052108E" w:rsidRDefault="0052108E" w:rsidP="00915F2E">
      <w:pPr>
        <w:spacing w:after="120" w:line="278" w:lineRule="auto"/>
        <w:jc w:val="both"/>
        <w:rPr>
          <w:color w:val="6D6E71" w:themeColor="accent3"/>
          <w:sz w:val="18"/>
          <w:szCs w:val="16"/>
        </w:rPr>
      </w:pPr>
    </w:p>
    <w:p w14:paraId="10C4813B" w14:textId="77777777" w:rsidR="0052108E" w:rsidRDefault="0052108E">
      <w:pPr>
        <w:spacing w:after="0"/>
        <w:rPr>
          <w:color w:val="6D6E71" w:themeColor="accent3"/>
          <w:sz w:val="18"/>
          <w:szCs w:val="16"/>
        </w:rPr>
      </w:pPr>
    </w:p>
    <w:p w14:paraId="22A314B2" w14:textId="77777777" w:rsidR="0052108E" w:rsidRDefault="0052108E">
      <w:pPr>
        <w:spacing w:after="0"/>
        <w:rPr>
          <w:color w:val="6D6E71" w:themeColor="accent3"/>
          <w:sz w:val="18"/>
          <w:szCs w:val="16"/>
        </w:rPr>
      </w:pPr>
    </w:p>
    <w:p w14:paraId="576B6859" w14:textId="77777777" w:rsidR="0052108E" w:rsidRDefault="0052108E">
      <w:pPr>
        <w:spacing w:after="0"/>
        <w:rPr>
          <w:color w:val="6D6E71" w:themeColor="accent3"/>
          <w:sz w:val="18"/>
          <w:szCs w:val="16"/>
        </w:rPr>
      </w:pPr>
    </w:p>
    <w:p w14:paraId="6034E63D" w14:textId="77777777" w:rsidR="0052108E" w:rsidRDefault="0052108E">
      <w:pPr>
        <w:spacing w:after="0"/>
        <w:rPr>
          <w:color w:val="6D6E71" w:themeColor="accent3"/>
          <w:sz w:val="18"/>
          <w:szCs w:val="16"/>
        </w:rPr>
      </w:pPr>
    </w:p>
    <w:p w14:paraId="6850DF72" w14:textId="77777777" w:rsidR="0052108E" w:rsidRDefault="0052108E">
      <w:pPr>
        <w:spacing w:after="0"/>
        <w:rPr>
          <w:color w:val="6D6E71" w:themeColor="accent3"/>
          <w:sz w:val="18"/>
          <w:szCs w:val="16"/>
        </w:rPr>
      </w:pPr>
    </w:p>
    <w:p w14:paraId="648F6DE7" w14:textId="77777777" w:rsidR="0052108E" w:rsidRDefault="0052108E">
      <w:pPr>
        <w:spacing w:after="0"/>
        <w:rPr>
          <w:color w:val="6D6E71" w:themeColor="accent3"/>
          <w:sz w:val="18"/>
          <w:szCs w:val="16"/>
        </w:rPr>
      </w:pPr>
    </w:p>
    <w:p w14:paraId="353B5C2E" w14:textId="77777777" w:rsidR="0052108E" w:rsidRDefault="0052108E">
      <w:pPr>
        <w:spacing w:after="0"/>
        <w:rPr>
          <w:color w:val="6D6E71" w:themeColor="accent3"/>
          <w:sz w:val="18"/>
          <w:szCs w:val="16"/>
        </w:rPr>
      </w:pPr>
    </w:p>
    <w:p w14:paraId="1E492017" w14:textId="77777777" w:rsidR="0052108E" w:rsidRDefault="0052108E">
      <w:pPr>
        <w:spacing w:after="0"/>
        <w:rPr>
          <w:color w:val="6D6E71" w:themeColor="accent3"/>
          <w:sz w:val="18"/>
          <w:szCs w:val="16"/>
        </w:rPr>
      </w:pPr>
    </w:p>
    <w:p w14:paraId="7E8E94A0" w14:textId="77777777" w:rsidR="0052108E" w:rsidRDefault="0052108E">
      <w:pPr>
        <w:spacing w:after="0"/>
        <w:rPr>
          <w:color w:val="6D6E71" w:themeColor="accent3"/>
          <w:sz w:val="18"/>
          <w:szCs w:val="16"/>
        </w:rPr>
      </w:pPr>
    </w:p>
    <w:p w14:paraId="038F5A9C" w14:textId="77777777" w:rsidR="0052108E" w:rsidRDefault="0052108E">
      <w:pPr>
        <w:spacing w:after="0"/>
        <w:rPr>
          <w:color w:val="6D6E71" w:themeColor="accent3"/>
          <w:sz w:val="18"/>
          <w:szCs w:val="16"/>
        </w:rPr>
      </w:pPr>
    </w:p>
    <w:p w14:paraId="183C9BF4" w14:textId="77777777" w:rsidR="0052108E" w:rsidRDefault="0052108E">
      <w:pPr>
        <w:spacing w:after="0"/>
        <w:rPr>
          <w:color w:val="6D6E71" w:themeColor="accent3"/>
          <w:sz w:val="18"/>
          <w:szCs w:val="16"/>
        </w:rPr>
      </w:pPr>
    </w:p>
    <w:p w14:paraId="3B0A69EB" w14:textId="77777777" w:rsidR="0052108E" w:rsidRDefault="0052108E">
      <w:pPr>
        <w:spacing w:after="0"/>
        <w:rPr>
          <w:color w:val="6D6E71" w:themeColor="accent3"/>
          <w:sz w:val="18"/>
          <w:szCs w:val="16"/>
        </w:rPr>
      </w:pPr>
    </w:p>
    <w:p w14:paraId="002722C4" w14:textId="77777777" w:rsidR="0052108E" w:rsidRDefault="0052108E">
      <w:pPr>
        <w:spacing w:after="0"/>
        <w:rPr>
          <w:color w:val="6D6E71" w:themeColor="accent3"/>
          <w:sz w:val="18"/>
          <w:szCs w:val="16"/>
        </w:rPr>
      </w:pPr>
    </w:p>
    <w:p w14:paraId="1A3F71C1" w14:textId="77777777" w:rsidR="0052108E" w:rsidRDefault="0052108E">
      <w:pPr>
        <w:spacing w:after="0"/>
        <w:rPr>
          <w:color w:val="6D6E71" w:themeColor="accent3"/>
          <w:sz w:val="18"/>
          <w:szCs w:val="16"/>
        </w:rPr>
      </w:pPr>
    </w:p>
    <w:p w14:paraId="6CADB9C3" w14:textId="77777777" w:rsidR="0052108E" w:rsidRDefault="0052108E">
      <w:pPr>
        <w:spacing w:after="0"/>
        <w:rPr>
          <w:color w:val="6D6E71" w:themeColor="accent3"/>
          <w:sz w:val="18"/>
          <w:szCs w:val="16"/>
        </w:rPr>
      </w:pPr>
    </w:p>
    <w:p w14:paraId="5602655A" w14:textId="77777777" w:rsidR="0052108E" w:rsidRDefault="0052108E">
      <w:pPr>
        <w:spacing w:after="0"/>
        <w:rPr>
          <w:color w:val="6D6E71" w:themeColor="accent3"/>
          <w:sz w:val="18"/>
          <w:szCs w:val="16"/>
        </w:rPr>
      </w:pPr>
    </w:p>
    <w:p w14:paraId="05FCAC85" w14:textId="77777777" w:rsidR="0052108E" w:rsidRDefault="0052108E">
      <w:pPr>
        <w:spacing w:after="0"/>
        <w:rPr>
          <w:color w:val="6D6E71" w:themeColor="accent3"/>
          <w:sz w:val="18"/>
          <w:szCs w:val="16"/>
        </w:rPr>
      </w:pPr>
    </w:p>
    <w:p w14:paraId="60F45EC9" w14:textId="77777777" w:rsidR="0052108E" w:rsidRDefault="0052108E">
      <w:pPr>
        <w:spacing w:after="0"/>
        <w:rPr>
          <w:color w:val="6D6E71" w:themeColor="accent3"/>
          <w:sz w:val="18"/>
          <w:szCs w:val="16"/>
        </w:rPr>
      </w:pPr>
    </w:p>
    <w:p w14:paraId="099AE488" w14:textId="77777777" w:rsidR="0052108E" w:rsidRDefault="0052108E">
      <w:pPr>
        <w:spacing w:after="0"/>
        <w:rPr>
          <w:color w:val="6D6E71" w:themeColor="accent3"/>
          <w:sz w:val="18"/>
          <w:szCs w:val="16"/>
        </w:rPr>
      </w:pPr>
    </w:p>
    <w:p w14:paraId="615B096B" w14:textId="77777777" w:rsidR="0052108E" w:rsidRDefault="0052108E">
      <w:pPr>
        <w:spacing w:after="0"/>
        <w:rPr>
          <w:color w:val="6D6E71" w:themeColor="accent3"/>
          <w:sz w:val="18"/>
          <w:szCs w:val="16"/>
        </w:rPr>
      </w:pPr>
    </w:p>
    <w:p w14:paraId="508995F1" w14:textId="2380132E" w:rsidR="0052108E" w:rsidRDefault="0052108E">
      <w:pPr>
        <w:spacing w:after="0"/>
        <w:rPr>
          <w:color w:val="6D6E71" w:themeColor="accent3"/>
          <w:sz w:val="18"/>
          <w:szCs w:val="16"/>
        </w:rPr>
      </w:pPr>
    </w:p>
    <w:p w14:paraId="0B871515" w14:textId="77777777" w:rsidR="007772F8" w:rsidRDefault="007772F8">
      <w:pPr>
        <w:spacing w:after="0"/>
        <w:rPr>
          <w:color w:val="6D6E71" w:themeColor="accent3"/>
          <w:sz w:val="18"/>
          <w:szCs w:val="16"/>
        </w:rPr>
      </w:pPr>
    </w:p>
    <w:p w14:paraId="3DDB20FF" w14:textId="77777777" w:rsidR="007772F8" w:rsidRDefault="007772F8">
      <w:pPr>
        <w:spacing w:after="0"/>
        <w:rPr>
          <w:color w:val="6D6E71" w:themeColor="accent3"/>
          <w:sz w:val="18"/>
          <w:szCs w:val="16"/>
        </w:rPr>
      </w:pPr>
    </w:p>
    <w:p w14:paraId="02F5BADF" w14:textId="77777777" w:rsidR="007772F8" w:rsidRDefault="007772F8">
      <w:pPr>
        <w:spacing w:after="0"/>
        <w:rPr>
          <w:color w:val="6D6E71" w:themeColor="accent3"/>
          <w:sz w:val="18"/>
          <w:szCs w:val="16"/>
        </w:rPr>
      </w:pPr>
    </w:p>
    <w:p w14:paraId="7DD23BDB" w14:textId="77777777" w:rsidR="007772F8" w:rsidRDefault="007772F8">
      <w:pPr>
        <w:spacing w:after="0"/>
        <w:rPr>
          <w:color w:val="6D6E71" w:themeColor="accent3"/>
          <w:sz w:val="18"/>
          <w:szCs w:val="16"/>
        </w:rPr>
      </w:pPr>
    </w:p>
    <w:p w14:paraId="7A69A83D" w14:textId="77777777" w:rsidR="007772F8" w:rsidRDefault="007772F8">
      <w:pPr>
        <w:spacing w:after="0"/>
        <w:rPr>
          <w:color w:val="6D6E71" w:themeColor="accent3"/>
          <w:sz w:val="18"/>
          <w:szCs w:val="16"/>
        </w:rPr>
      </w:pPr>
    </w:p>
    <w:p w14:paraId="60600742" w14:textId="77777777" w:rsidR="007772F8" w:rsidRDefault="007772F8">
      <w:pPr>
        <w:spacing w:after="0"/>
        <w:rPr>
          <w:color w:val="6D6E71" w:themeColor="accent3"/>
          <w:sz w:val="18"/>
          <w:szCs w:val="16"/>
        </w:rPr>
      </w:pPr>
    </w:p>
    <w:p w14:paraId="0D4800A2" w14:textId="77777777" w:rsidR="007772F8" w:rsidRDefault="007772F8">
      <w:pPr>
        <w:spacing w:after="0"/>
        <w:rPr>
          <w:color w:val="6D6E71" w:themeColor="accent3"/>
          <w:sz w:val="18"/>
          <w:szCs w:val="16"/>
        </w:rPr>
      </w:pPr>
    </w:p>
    <w:p w14:paraId="55039FD7" w14:textId="77777777" w:rsidR="007772F8" w:rsidRDefault="007772F8">
      <w:pPr>
        <w:spacing w:after="0"/>
        <w:rPr>
          <w:color w:val="6D6E71" w:themeColor="accent3"/>
          <w:sz w:val="18"/>
          <w:szCs w:val="16"/>
        </w:rPr>
      </w:pPr>
    </w:p>
    <w:p w14:paraId="754A332E" w14:textId="171A3ACF" w:rsidR="00201EF7" w:rsidRPr="00040457" w:rsidRDefault="20720918" w:rsidP="00040457">
      <w:pPr>
        <w:pStyle w:val="Heading2"/>
        <w:numPr>
          <w:ilvl w:val="0"/>
          <w:numId w:val="0"/>
        </w:numPr>
        <w:spacing w:line="278" w:lineRule="auto"/>
      </w:pPr>
      <w:bookmarkStart w:id="39" w:name="_Toc221182673"/>
      <w:r>
        <w:lastRenderedPageBreak/>
        <w:t xml:space="preserve">Appendix </w:t>
      </w:r>
      <w:r w:rsidR="52232AF9">
        <w:t>C</w:t>
      </w:r>
      <w:r>
        <w:t xml:space="preserve"> – Out-commuting regression results</w:t>
      </w:r>
      <w:bookmarkEnd w:id="39"/>
    </w:p>
    <w:p w14:paraId="785F27C6" w14:textId="13F12C22" w:rsidR="00201EF7" w:rsidRDefault="00F46C41" w:rsidP="00F46C41">
      <w:pPr>
        <w:pStyle w:val="Caption"/>
      </w:pPr>
      <w:r w:rsidRPr="00F46C41">
        <w:rPr>
          <w:color w:val="6D6E71" w:themeColor="accent3"/>
          <w:sz w:val="18"/>
        </w:rPr>
        <w:t xml:space="preserve">Table </w:t>
      </w:r>
      <w:r w:rsidRPr="00F46C41">
        <w:rPr>
          <w:color w:val="6D6E71" w:themeColor="accent3"/>
          <w:sz w:val="18"/>
        </w:rPr>
        <w:fldChar w:fldCharType="begin"/>
      </w:r>
      <w:r w:rsidRPr="00F46C41">
        <w:rPr>
          <w:color w:val="6D6E71" w:themeColor="accent3"/>
          <w:sz w:val="18"/>
        </w:rPr>
        <w:instrText xml:space="preserve"> SEQ Table \* ARABIC </w:instrText>
      </w:r>
      <w:r w:rsidRPr="00F46C41">
        <w:rPr>
          <w:color w:val="6D6E71" w:themeColor="accent3"/>
          <w:sz w:val="18"/>
        </w:rPr>
        <w:fldChar w:fldCharType="separate"/>
      </w:r>
      <w:r w:rsidR="004775B5">
        <w:rPr>
          <w:noProof/>
          <w:color w:val="6D6E71" w:themeColor="accent3"/>
          <w:sz w:val="18"/>
        </w:rPr>
        <w:t>15</w:t>
      </w:r>
      <w:r w:rsidRPr="00F46C41">
        <w:rPr>
          <w:color w:val="6D6E71" w:themeColor="accent3"/>
          <w:sz w:val="18"/>
        </w:rPr>
        <w:fldChar w:fldCharType="end"/>
      </w:r>
      <w:r w:rsidR="00201EF7" w:rsidRPr="00015203">
        <w:rPr>
          <w:color w:val="6D6E71" w:themeColor="accent3"/>
          <w:sz w:val="18"/>
        </w:rPr>
        <w:t>: Re</w:t>
      </w:r>
      <w:r w:rsidR="00201EF7">
        <w:rPr>
          <w:color w:val="6D6E71" w:themeColor="accent3"/>
          <w:sz w:val="18"/>
        </w:rPr>
        <w:t>gression results for out-commuting model (clustered standard errors in parentheses)</w:t>
      </w:r>
    </w:p>
    <w:p w14:paraId="7585C512" w14:textId="77777777" w:rsidR="00201EF7" w:rsidRPr="007C11F4" w:rsidRDefault="00201EF7" w:rsidP="00201E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lang w:eastAsia="en-GB"/>
        </w:rPr>
      </w:pPr>
      <w:r w:rsidRPr="007C11F4">
        <w:rPr>
          <w:rFonts w:ascii="Lucida Console" w:eastAsia="Times New Roman" w:hAnsi="Lucida Console" w:cs="Courier New"/>
          <w:color w:val="404040" w:themeColor="text1" w:themeTint="BF"/>
          <w:sz w:val="20"/>
          <w:bdr w:val="none" w:sz="0" w:space="0" w:color="auto" w:frame="1"/>
          <w:lang w:eastAsia="en-GB"/>
        </w:rPr>
        <w:t>Dependent Var.:                Log out-commuting rate</w:t>
      </w:r>
    </w:p>
    <w:p w14:paraId="27E64458" w14:textId="77777777" w:rsidR="00201EF7" w:rsidRPr="007C11F4" w:rsidRDefault="00201EF7" w:rsidP="00201E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lang w:eastAsia="en-GB"/>
        </w:rPr>
      </w:pPr>
    </w:p>
    <w:p w14:paraId="47D8A0BC" w14:textId="77777777" w:rsidR="00201EF7" w:rsidRPr="007C11F4" w:rsidRDefault="00201EF7" w:rsidP="00201E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lang w:eastAsia="en-GB"/>
        </w:rPr>
      </w:pPr>
      <w:r w:rsidRPr="007C11F4">
        <w:rPr>
          <w:rFonts w:ascii="Lucida Console" w:eastAsia="Times New Roman" w:hAnsi="Lucida Console" w:cs="Courier New"/>
          <w:color w:val="404040" w:themeColor="text1" w:themeTint="BF"/>
          <w:sz w:val="20"/>
          <w:bdr w:val="none" w:sz="0" w:space="0" w:color="auto" w:frame="1"/>
          <w:lang w:eastAsia="en-GB"/>
        </w:rPr>
        <w:t>Log activity ratio (Eng/Wales)         1.89** (0.598)</w:t>
      </w:r>
    </w:p>
    <w:p w14:paraId="5C9B320C" w14:textId="77777777" w:rsidR="00201EF7" w:rsidRPr="007C11F4" w:rsidRDefault="00201EF7" w:rsidP="00201E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lang w:eastAsia="en-GB"/>
        </w:rPr>
      </w:pPr>
      <w:r w:rsidRPr="007C11F4">
        <w:rPr>
          <w:rFonts w:ascii="Lucida Console" w:eastAsia="Times New Roman" w:hAnsi="Lucida Console" w:cs="Courier New"/>
          <w:color w:val="404040" w:themeColor="text1" w:themeTint="BF"/>
          <w:sz w:val="20"/>
          <w:bdr w:val="none" w:sz="0" w:space="0" w:color="auto" w:frame="1"/>
          <w:lang w:eastAsia="en-GB"/>
        </w:rPr>
        <w:t>Construction share                      0.320 (0.592)</w:t>
      </w:r>
    </w:p>
    <w:p w14:paraId="48DBE9D3" w14:textId="77777777" w:rsidR="00201EF7" w:rsidRPr="007C11F4" w:rsidRDefault="00201EF7" w:rsidP="00201E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lang w:eastAsia="en-GB"/>
        </w:rPr>
      </w:pPr>
      <w:r w:rsidRPr="007C11F4">
        <w:rPr>
          <w:rFonts w:ascii="Lucida Console" w:eastAsia="Times New Roman" w:hAnsi="Lucida Console" w:cs="Courier New"/>
          <w:color w:val="404040" w:themeColor="text1" w:themeTint="BF"/>
          <w:sz w:val="20"/>
          <w:bdr w:val="none" w:sz="0" w:space="0" w:color="auto" w:frame="1"/>
          <w:lang w:eastAsia="en-GB"/>
        </w:rPr>
        <w:t>Fixed-Effects:                 ----------------------</w:t>
      </w:r>
    </w:p>
    <w:p w14:paraId="37A619F8" w14:textId="77777777" w:rsidR="00201EF7" w:rsidRPr="007C11F4" w:rsidRDefault="00201EF7" w:rsidP="00201E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lang w:eastAsia="en-GB"/>
        </w:rPr>
      </w:pPr>
      <w:r w:rsidRPr="007C11F4">
        <w:rPr>
          <w:rFonts w:ascii="Lucida Console" w:eastAsia="Times New Roman" w:hAnsi="Lucida Console" w:cs="Courier New"/>
          <w:color w:val="404040" w:themeColor="text1" w:themeTint="BF"/>
          <w:sz w:val="20"/>
          <w:bdr w:val="none" w:sz="0" w:space="0" w:color="auto" w:frame="1"/>
          <w:lang w:eastAsia="en-GB"/>
        </w:rPr>
        <w:t>LA fixed effects                                  Yes</w:t>
      </w:r>
    </w:p>
    <w:p w14:paraId="7A3F2285" w14:textId="77777777" w:rsidR="00201EF7" w:rsidRPr="007C11F4" w:rsidRDefault="00201EF7" w:rsidP="00201E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lang w:eastAsia="en-GB"/>
        </w:rPr>
      </w:pPr>
      <w:r w:rsidRPr="007C11F4">
        <w:rPr>
          <w:rFonts w:ascii="Lucida Console" w:eastAsia="Times New Roman" w:hAnsi="Lucida Console" w:cs="Courier New"/>
          <w:color w:val="404040" w:themeColor="text1" w:themeTint="BF"/>
          <w:sz w:val="20"/>
          <w:bdr w:val="none" w:sz="0" w:space="0" w:color="auto" w:frame="1"/>
          <w:lang w:eastAsia="en-GB"/>
        </w:rPr>
        <w:t>______________________________ ______________________</w:t>
      </w:r>
    </w:p>
    <w:p w14:paraId="631C49F1" w14:textId="77777777" w:rsidR="00201EF7" w:rsidRPr="007C11F4" w:rsidRDefault="00201EF7" w:rsidP="00201E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lang w:eastAsia="en-GB"/>
        </w:rPr>
      </w:pPr>
      <w:r w:rsidRPr="007C11F4">
        <w:rPr>
          <w:rFonts w:ascii="Lucida Console" w:eastAsia="Times New Roman" w:hAnsi="Lucida Console" w:cs="Courier New"/>
          <w:color w:val="404040" w:themeColor="text1" w:themeTint="BF"/>
          <w:sz w:val="20"/>
          <w:bdr w:val="none" w:sz="0" w:space="0" w:color="auto" w:frame="1"/>
          <w:lang w:eastAsia="en-GB"/>
        </w:rPr>
        <w:t>S.E.: Clustered                  by: LA fixed effects</w:t>
      </w:r>
    </w:p>
    <w:p w14:paraId="4F4D85AE" w14:textId="77777777" w:rsidR="00201EF7" w:rsidRPr="007C11F4" w:rsidRDefault="00201EF7" w:rsidP="00201E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lang w:eastAsia="en-GB"/>
        </w:rPr>
      </w:pPr>
      <w:r w:rsidRPr="007C11F4">
        <w:rPr>
          <w:rFonts w:ascii="Lucida Console" w:eastAsia="Times New Roman" w:hAnsi="Lucida Console" w:cs="Courier New"/>
          <w:color w:val="404040" w:themeColor="text1" w:themeTint="BF"/>
          <w:sz w:val="20"/>
          <w:bdr w:val="none" w:sz="0" w:space="0" w:color="auto" w:frame="1"/>
          <w:lang w:eastAsia="en-GB"/>
        </w:rPr>
        <w:t>Observations                                      352</w:t>
      </w:r>
    </w:p>
    <w:p w14:paraId="6C0E49F6" w14:textId="77777777" w:rsidR="00201EF7" w:rsidRPr="007C11F4" w:rsidRDefault="00201EF7" w:rsidP="00201E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lang w:eastAsia="en-GB"/>
        </w:rPr>
      </w:pPr>
      <w:r w:rsidRPr="007C11F4">
        <w:rPr>
          <w:rFonts w:ascii="Lucida Console" w:eastAsia="Times New Roman" w:hAnsi="Lucida Console" w:cs="Courier New"/>
          <w:color w:val="404040" w:themeColor="text1" w:themeTint="BF"/>
          <w:sz w:val="20"/>
          <w:bdr w:val="none" w:sz="0" w:space="0" w:color="auto" w:frame="1"/>
          <w:lang w:eastAsia="en-GB"/>
        </w:rPr>
        <w:t>R2                                            0.91215</w:t>
      </w:r>
    </w:p>
    <w:p w14:paraId="7B3855D4" w14:textId="77777777" w:rsidR="00201EF7" w:rsidRPr="007C11F4" w:rsidRDefault="00201EF7" w:rsidP="00201E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lang w:eastAsia="en-GB"/>
        </w:rPr>
      </w:pPr>
      <w:r w:rsidRPr="007C11F4">
        <w:rPr>
          <w:rFonts w:ascii="Lucida Console" w:eastAsia="Times New Roman" w:hAnsi="Lucida Console" w:cs="Courier New"/>
          <w:color w:val="404040" w:themeColor="text1" w:themeTint="BF"/>
          <w:sz w:val="20"/>
          <w:bdr w:val="none" w:sz="0" w:space="0" w:color="auto" w:frame="1"/>
          <w:lang w:eastAsia="en-GB"/>
        </w:rPr>
        <w:t>RMSE                                          0.11574</w:t>
      </w:r>
    </w:p>
    <w:p w14:paraId="3B41A2C6" w14:textId="77777777" w:rsidR="00201EF7" w:rsidRPr="007C11F4" w:rsidRDefault="00201EF7" w:rsidP="00201E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bdr w:val="none" w:sz="0" w:space="0" w:color="auto" w:frame="1"/>
          <w:lang w:eastAsia="en-GB"/>
        </w:rPr>
      </w:pPr>
      <w:r w:rsidRPr="007C11F4">
        <w:rPr>
          <w:rFonts w:ascii="Lucida Console" w:eastAsia="Times New Roman" w:hAnsi="Lucida Console" w:cs="Courier New"/>
          <w:color w:val="404040" w:themeColor="text1" w:themeTint="BF"/>
          <w:sz w:val="20"/>
          <w:bdr w:val="none" w:sz="0" w:space="0" w:color="auto" w:frame="1"/>
          <w:lang w:eastAsia="en-GB"/>
        </w:rPr>
        <w:t>---</w:t>
      </w:r>
    </w:p>
    <w:p w14:paraId="600E4A0A" w14:textId="77777777" w:rsidR="00201EF7" w:rsidRPr="00F93663" w:rsidRDefault="00201EF7" w:rsidP="00201E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8" w:lineRule="auto"/>
        <w:jc w:val="center"/>
        <w:rPr>
          <w:rFonts w:ascii="Lucida Console" w:eastAsia="Times New Roman" w:hAnsi="Lucida Console" w:cs="Courier New"/>
          <w:color w:val="404040" w:themeColor="text1" w:themeTint="BF"/>
          <w:sz w:val="20"/>
          <w:lang w:eastAsia="en-GB"/>
        </w:rPr>
      </w:pPr>
      <w:r w:rsidRPr="007C11F4">
        <w:rPr>
          <w:rFonts w:ascii="Lucida Console" w:eastAsia="Times New Roman" w:hAnsi="Lucida Console" w:cs="Courier New"/>
          <w:color w:val="404040" w:themeColor="text1" w:themeTint="BF"/>
          <w:sz w:val="20"/>
          <w:bdr w:val="none" w:sz="0" w:space="0" w:color="auto" w:frame="1"/>
          <w:lang w:eastAsia="en-GB"/>
        </w:rPr>
        <w:t>Signif. codes: 0 '***' 0.001 '**' 0.01 '*' 0.05 '.' 0.1 ' ' 1</w:t>
      </w:r>
    </w:p>
    <w:p w14:paraId="1D85FF7D" w14:textId="3696462F" w:rsidR="00F46C41" w:rsidRDefault="00F46C41" w:rsidP="00733D64">
      <w:pPr>
        <w:spacing w:after="120" w:line="278" w:lineRule="auto"/>
        <w:jc w:val="both"/>
      </w:pPr>
      <w:r w:rsidRPr="00F46C41">
        <w:t>The model estimates the relationship between W</w:t>
      </w:r>
      <w:r>
        <w:t xml:space="preserve">ales to </w:t>
      </w:r>
      <w:r w:rsidRPr="00F46C41">
        <w:t>Engl</w:t>
      </w:r>
      <w:r>
        <w:t>and</w:t>
      </w:r>
      <w:r w:rsidRPr="00F46C41">
        <w:t xml:space="preserve"> cross-border out-commuting and relative economic conditions using a local-authority fixed-effects panel over the pre-Covid period (to 2019). Local authority fixed effects absorb all time-invariant structural characteristics, including geography, transport connectivity, and persistent labour market features.</w:t>
      </w:r>
    </w:p>
    <w:p w14:paraId="6C8AF113" w14:textId="005F9ED8" w:rsidR="00F46C41" w:rsidRDefault="3B8FD37D" w:rsidP="00733D64">
      <w:pPr>
        <w:spacing w:after="120" w:line="278" w:lineRule="auto"/>
        <w:jc w:val="both"/>
      </w:pPr>
      <w:r>
        <w:t>A Hausman test strongly rejects the random-effects specification (p &lt; 0.001), confirming that unobserved local authority characteristics are correlated with the regressors. A fixed-effects specification is therefore required for consistent estimation.</w:t>
      </w:r>
    </w:p>
    <w:p w14:paraId="69D36252" w14:textId="736CBC34" w:rsidR="00F46C41" w:rsidRDefault="00F46C41" w:rsidP="00F46C41">
      <w:pPr>
        <w:spacing w:after="120" w:line="278" w:lineRule="auto"/>
        <w:jc w:val="both"/>
      </w:pPr>
      <w:r>
        <w:t>The core result is a large and statistically robust elasticity of out-commuting with respect to relative economic activity:</w:t>
      </w:r>
    </w:p>
    <w:p w14:paraId="75B319A9" w14:textId="2D7D148C" w:rsidR="00F46C41" w:rsidRDefault="00F46C41" w:rsidP="00F46C41">
      <w:pPr>
        <w:pStyle w:val="ListParagraph"/>
        <w:numPr>
          <w:ilvl w:val="0"/>
          <w:numId w:val="32"/>
        </w:numPr>
        <w:spacing w:after="120" w:line="278" w:lineRule="auto"/>
        <w:jc w:val="both"/>
      </w:pPr>
      <w:r>
        <w:t>A 1% increase in economic activity in England relative to Wales is associated with an approximately 1.9% increase in the Welsh out-commuting rate.</w:t>
      </w:r>
    </w:p>
    <w:p w14:paraId="703C8BAC" w14:textId="72EC6F0A" w:rsidR="00F46C41" w:rsidRDefault="00F46C41" w:rsidP="00F46C41">
      <w:pPr>
        <w:pStyle w:val="ListParagraph"/>
        <w:numPr>
          <w:ilvl w:val="0"/>
          <w:numId w:val="32"/>
        </w:numPr>
        <w:spacing w:after="120" w:line="278" w:lineRule="auto"/>
        <w:jc w:val="both"/>
      </w:pPr>
      <w:r>
        <w:t>The coefficient is statistically significant at the 1% level, with a 95% confidence interval of 0.65 to 3.13.</w:t>
      </w:r>
    </w:p>
    <w:p w14:paraId="4E342D47" w14:textId="4E3C1A25" w:rsidR="00F46C41" w:rsidRDefault="005B5BB8" w:rsidP="00F46C41">
      <w:pPr>
        <w:spacing w:after="120" w:line="278" w:lineRule="auto"/>
        <w:jc w:val="both"/>
      </w:pPr>
      <w:r>
        <w:t>T</w:t>
      </w:r>
      <w:r w:rsidRPr="005B5BB8">
        <w:t xml:space="preserve">he model explains roughly </w:t>
      </w:r>
      <w:r>
        <w:t>9</w:t>
      </w:r>
      <w:r w:rsidRPr="005B5BB8">
        <w:t xml:space="preserve">0% of the variation in </w:t>
      </w:r>
      <w:r>
        <w:t>cross-commuting</w:t>
      </w:r>
      <w:r w:rsidRPr="005B5BB8">
        <w:t xml:space="preserve"> (R² ≈ 0.</w:t>
      </w:r>
      <w:r w:rsidR="001A0A5D">
        <w:t>91</w:t>
      </w:r>
      <w:r w:rsidRPr="005B5BB8">
        <w:t>)</w:t>
      </w:r>
      <w:r w:rsidR="001A0A5D">
        <w:t xml:space="preserve">, </w:t>
      </w:r>
      <w:r w:rsidR="00A34ED3">
        <w:t>with the</w:t>
      </w:r>
      <w:r w:rsidR="00F46C41">
        <w:t xml:space="preserve"> adjusted R² </w:t>
      </w:r>
      <w:r w:rsidR="00A34ED3">
        <w:t>recording a similar reading of approximately</w:t>
      </w:r>
      <w:r w:rsidR="00F46C41">
        <w:t xml:space="preserve"> 0.91, reflecting the fact that commuting patterns are strongly shaped by persistent local characteristics captured by the fixed effects. The within R² is modest</w:t>
      </w:r>
      <w:r w:rsidR="001A0A5D">
        <w:t xml:space="preserve"> (0.03)</w:t>
      </w:r>
      <w:r w:rsidR="00F46C41">
        <w:t>, which is expected in this context, as short-run variation in commuting rates is limited relative to structural differences across local authorities.</w:t>
      </w:r>
    </w:p>
    <w:p w14:paraId="42B9D7C2" w14:textId="77777777" w:rsidR="00F46C41" w:rsidRDefault="00F46C41" w:rsidP="00F46C41">
      <w:pPr>
        <w:spacing w:after="120" w:line="278" w:lineRule="auto"/>
        <w:jc w:val="both"/>
      </w:pPr>
      <w:r>
        <w:t>Out-of-sample validation using post-2019 data shows a strong correlation between predicted and observed out-commuting rates (correlation ≈ 0.93). The model nevertheless over-predicts absolute levels in the post-2019 period, consistent with a structural level shift following Covid-related changes in mobility. Applying a simple level-shift adjustment substantially improves forecast accuracy without altering the underlying elasticity.</w:t>
      </w:r>
    </w:p>
    <w:p w14:paraId="6E96F495" w14:textId="77777777" w:rsidR="00F46C41" w:rsidRDefault="00F46C41" w:rsidP="00F46C41">
      <w:pPr>
        <w:spacing w:after="120" w:line="278" w:lineRule="auto"/>
        <w:jc w:val="both"/>
      </w:pPr>
    </w:p>
    <w:p w14:paraId="21448DFE" w14:textId="3031E06E" w:rsidR="00F46C41" w:rsidRDefault="00F46C41" w:rsidP="00F46C41">
      <w:pPr>
        <w:spacing w:after="120" w:line="278" w:lineRule="auto"/>
        <w:jc w:val="both"/>
      </w:pPr>
      <w:r>
        <w:lastRenderedPageBreak/>
        <w:t>When the model is re-anchored to post-2019 outcomes, the implied elasticity is closer to the lower bound of the pre-2019 confidence interval, suggesting that responsiveness in recent years has been weaker, though still positive.</w:t>
      </w:r>
    </w:p>
    <w:p w14:paraId="20870EDE" w14:textId="609958AD" w:rsidR="00F46C41" w:rsidRDefault="00F46C41" w:rsidP="00F46C41">
      <w:pPr>
        <w:spacing w:after="120" w:line="278" w:lineRule="auto"/>
        <w:jc w:val="both"/>
      </w:pPr>
      <w:r>
        <w:t>The construction employment share is not statistically significant once relative economic activity is controlled for. This suggests that sectoral composition does not explain additional variation in overall out-commuting rates beyond broad economic pull factors.</w:t>
      </w:r>
    </w:p>
    <w:p w14:paraId="4B5D97E7" w14:textId="0F04DBE7" w:rsidR="00F46C41" w:rsidRDefault="00F46C41" w:rsidP="00F46C41">
      <w:pPr>
        <w:spacing w:after="120" w:line="278" w:lineRule="auto"/>
        <w:jc w:val="both"/>
      </w:pPr>
      <w:r>
        <w:t xml:space="preserve">The variable is retained for conceptual completeness and robustness. It controls for differences in local industrial structure that could otherwise bias the estimated activity elasticity and ensures that the coefficient on relative activity is not inadvertently capturing sector-specific effects. Its inclusion does </w:t>
      </w:r>
      <w:r w:rsidR="00CD0C2E">
        <w:t>not introduce</w:t>
      </w:r>
      <w:r>
        <w:t xml:space="preserve"> multicollinearity. Indeed, v</w:t>
      </w:r>
      <w:r w:rsidRPr="00F46C41">
        <w:t>ariance inflation factors are low (≈1.08 for all regressors), indicating no evidence of multicollinearity.</w:t>
      </w:r>
    </w:p>
    <w:p w14:paraId="6E97288F" w14:textId="4DD7C54F" w:rsidR="00F46C41" w:rsidRDefault="00F46C41" w:rsidP="00F46C41">
      <w:pPr>
        <w:spacing w:after="120" w:line="278" w:lineRule="auto"/>
        <w:jc w:val="both"/>
      </w:pPr>
      <w:r>
        <w:t>As a further validation step, the model was re-estimated using construction activity differentials in place of general economic activity. This specification was motivated by the project context, in which divergences in retrofit deployment, infrastructure investment, and wider construction workloads could plausibly generate sector-specific pull factors.</w:t>
      </w:r>
    </w:p>
    <w:p w14:paraId="16EA27A6" w14:textId="7EE57276" w:rsidR="00301C3B" w:rsidRDefault="00F46C41" w:rsidP="00301C3B">
      <w:pPr>
        <w:spacing w:after="120" w:line="278" w:lineRule="auto"/>
        <w:jc w:val="both"/>
      </w:pPr>
      <w:r>
        <w:t>Under this alternative specification, the model again produced a statistically significant elasticity, though smaller in magnitude, at approximately 1.4. This result reinforces the interpretation that cross-border labour mobility is primarily governed by the relative strength of the English economy as a whole, with construction acting as one of several channels through which these broader conditions manifes</w:t>
      </w:r>
      <w:r w:rsidR="00301C3B">
        <w:t>t.</w:t>
      </w:r>
    </w:p>
    <w:p w14:paraId="436503B7" w14:textId="573091C4" w:rsidR="00301C3B" w:rsidRDefault="003C45B8">
      <w:pPr>
        <w:spacing w:after="0"/>
      </w:pPr>
      <w:r>
        <w:br w:type="page"/>
      </w:r>
    </w:p>
    <w:p w14:paraId="61D68CD3" w14:textId="77777777" w:rsidR="0097252B" w:rsidRPr="00015203" w:rsidRDefault="0097252B" w:rsidP="00301C3B">
      <w:pPr>
        <w:spacing w:after="120" w:line="278" w:lineRule="auto"/>
        <w:jc w:val="both"/>
        <w:sectPr w:rsidR="0097252B" w:rsidRPr="00015203" w:rsidSect="00FA3B66">
          <w:headerReference w:type="even" r:id="rId34"/>
          <w:headerReference w:type="default" r:id="rId35"/>
          <w:footerReference w:type="default" r:id="rId36"/>
          <w:headerReference w:type="first" r:id="rId37"/>
          <w:type w:val="continuous"/>
          <w:pgSz w:w="11906" w:h="16838"/>
          <w:pgMar w:top="1440" w:right="1416" w:bottom="1440" w:left="1440" w:header="709" w:footer="709" w:gutter="0"/>
          <w:cols w:space="708"/>
          <w:docGrid w:linePitch="360"/>
        </w:sectPr>
      </w:pPr>
    </w:p>
    <w:bookmarkEnd w:id="9"/>
    <w:bookmarkEnd w:id="10"/>
    <w:bookmarkEnd w:id="11"/>
    <w:bookmarkEnd w:id="12"/>
    <w:bookmarkEnd w:id="8"/>
    <w:bookmarkEnd w:id="7"/>
    <w:p w14:paraId="3E2F387A" w14:textId="77777777" w:rsidR="003C45B8" w:rsidRDefault="003C45B8">
      <w:pPr>
        <w:spacing w:after="0"/>
        <w:rPr>
          <w:rFonts w:eastAsiaTheme="majorEastAsia" w:cstheme="majorBidi"/>
          <w:b/>
          <w:bCs/>
          <w:color w:val="7F7F7F" w:themeColor="text1" w:themeTint="80"/>
          <w:sz w:val="28"/>
          <w:szCs w:val="26"/>
        </w:rPr>
      </w:pPr>
      <w:r>
        <w:br w:type="page"/>
      </w:r>
    </w:p>
    <w:p w14:paraId="1C7134E6" w14:textId="7D54EDAE" w:rsidR="00301C3B" w:rsidRDefault="00301C3B" w:rsidP="00301C3B">
      <w:pPr>
        <w:pStyle w:val="Heading2"/>
        <w:numPr>
          <w:ilvl w:val="0"/>
          <w:numId w:val="0"/>
        </w:numPr>
        <w:spacing w:line="278" w:lineRule="auto"/>
      </w:pPr>
      <w:bookmarkStart w:id="40" w:name="_Toc221182674"/>
      <w:r>
        <w:lastRenderedPageBreak/>
        <w:t xml:space="preserve">Appendix D – Apprenticeship </w:t>
      </w:r>
      <w:r w:rsidR="00E343A8">
        <w:t xml:space="preserve">outcomes </w:t>
      </w:r>
      <w:r>
        <w:t xml:space="preserve">under 2% per annum increase </w:t>
      </w:r>
      <w:r w:rsidR="003F6411">
        <w:t xml:space="preserve">in </w:t>
      </w:r>
      <w:r>
        <w:t>real funding</w:t>
      </w:r>
      <w:bookmarkEnd w:id="40"/>
    </w:p>
    <w:p w14:paraId="173ECFE6" w14:textId="0DC8A1CC" w:rsidR="00301C3B" w:rsidRDefault="00301C3B" w:rsidP="00301C3B">
      <w:pPr>
        <w:pStyle w:val="Caption"/>
        <w:rPr>
          <w:color w:val="6D6E71" w:themeColor="accent3"/>
          <w:sz w:val="18"/>
        </w:rPr>
      </w:pPr>
      <w:r w:rsidRPr="005B5BB8">
        <w:rPr>
          <w:color w:val="6D6E71" w:themeColor="accent3"/>
          <w:sz w:val="18"/>
        </w:rPr>
        <w:t xml:space="preserve">Figure </w:t>
      </w:r>
      <w:r w:rsidRPr="005B5BB8">
        <w:rPr>
          <w:color w:val="6D6E71" w:themeColor="accent3"/>
          <w:sz w:val="18"/>
        </w:rPr>
        <w:fldChar w:fldCharType="begin"/>
      </w:r>
      <w:r w:rsidRPr="005B5BB8">
        <w:rPr>
          <w:color w:val="6D6E71" w:themeColor="accent3"/>
          <w:sz w:val="18"/>
        </w:rPr>
        <w:instrText xml:space="preserve"> SEQ Figure \* ARABIC </w:instrText>
      </w:r>
      <w:r w:rsidRPr="005B5BB8">
        <w:rPr>
          <w:color w:val="6D6E71" w:themeColor="accent3"/>
          <w:sz w:val="18"/>
        </w:rPr>
        <w:fldChar w:fldCharType="separate"/>
      </w:r>
      <w:r w:rsidR="004775B5">
        <w:rPr>
          <w:noProof/>
          <w:color w:val="6D6E71" w:themeColor="accent3"/>
          <w:sz w:val="18"/>
        </w:rPr>
        <w:t>9</w:t>
      </w:r>
      <w:r w:rsidRPr="005B5BB8">
        <w:rPr>
          <w:color w:val="6D6E71" w:themeColor="accent3"/>
          <w:sz w:val="18"/>
        </w:rPr>
        <w:fldChar w:fldCharType="end"/>
      </w:r>
      <w:r w:rsidRPr="005B5BB8">
        <w:rPr>
          <w:color w:val="6D6E71" w:themeColor="accent3"/>
          <w:sz w:val="18"/>
        </w:rPr>
        <w:t>:</w:t>
      </w:r>
      <w:r>
        <w:t xml:space="preserve"> </w:t>
      </w:r>
      <w:r>
        <w:rPr>
          <w:color w:val="6D6E71" w:themeColor="accent3"/>
          <w:sz w:val="18"/>
        </w:rPr>
        <w:t xml:space="preserve">Outturn and forecast completions for retrofit-relevant pathways under 2% per annum </w:t>
      </w:r>
      <w:r w:rsidR="003F6411">
        <w:rPr>
          <w:color w:val="6D6E71" w:themeColor="accent3"/>
          <w:sz w:val="18"/>
        </w:rPr>
        <w:t>real</w:t>
      </w:r>
      <w:r>
        <w:rPr>
          <w:color w:val="6D6E71" w:themeColor="accent3"/>
          <w:sz w:val="18"/>
        </w:rPr>
        <w:t xml:space="preserve"> funding increase</w:t>
      </w:r>
    </w:p>
    <w:p w14:paraId="335B052D" w14:textId="0A3CBEE1" w:rsidR="00301C3B" w:rsidRDefault="00301C3B" w:rsidP="00301C3B">
      <w:r>
        <w:rPr>
          <w:noProof/>
        </w:rPr>
        <w:drawing>
          <wp:inline distT="0" distB="0" distL="0" distR="0" wp14:anchorId="5773618E" wp14:editId="5CE52C82">
            <wp:extent cx="5743575" cy="4038600"/>
            <wp:effectExtent l="0" t="0" r="0" b="0"/>
            <wp:docPr id="1599702081" name="Chart 1" descr="Stacked bar chart showing historical and forecast apprenticeship completions for retrofit-relevant training pathways under an assumption of 2% annual real funding growth. Completions vary by pathway over time, with electrical installation and plumbing and heating accounting for the largest shares, and total completions declining slightly in the later forecast years.">
              <a:extLst xmlns:a="http://schemas.openxmlformats.org/drawingml/2006/main">
                <a:ext uri="{FF2B5EF4-FFF2-40B4-BE49-F238E27FC236}">
                  <a16:creationId xmlns:a16="http://schemas.microsoft.com/office/drawing/2014/main" id="{6699C629-9FE0-44D0-95E5-9BC684CD10A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17DC1FC7" w14:textId="5CC243E1" w:rsidR="00301C3B" w:rsidRPr="00301C3B" w:rsidRDefault="00301C3B" w:rsidP="00301C3B">
      <w:pPr>
        <w:jc w:val="right"/>
      </w:pPr>
      <w:r>
        <w:rPr>
          <w:color w:val="6D6E71" w:themeColor="accent3"/>
          <w:sz w:val="18"/>
          <w:szCs w:val="16"/>
        </w:rPr>
        <w:t>Source: Various, Cebr analysis</w:t>
      </w:r>
    </w:p>
    <w:p w14:paraId="128DDE3D" w14:textId="19A1BDAD" w:rsidR="002A137B" w:rsidRPr="00015203" w:rsidRDefault="002A137B">
      <w:pPr>
        <w:spacing w:after="0"/>
        <w:rPr>
          <w:b/>
          <w:bCs/>
          <w:color w:val="262626" w:themeColor="text1" w:themeTint="D9"/>
          <w:sz w:val="20"/>
        </w:rPr>
      </w:pPr>
      <w:r w:rsidRPr="00015203">
        <w:rPr>
          <w:b/>
          <w:bCs/>
          <w:color w:val="262626" w:themeColor="text1" w:themeTint="D9"/>
          <w:sz w:val="20"/>
        </w:rPr>
        <w:br w:type="page"/>
      </w:r>
    </w:p>
    <w:p w14:paraId="24133C2D" w14:textId="392090F6" w:rsidR="00622102" w:rsidRPr="00015203" w:rsidRDefault="00622102" w:rsidP="00622102">
      <w:pPr>
        <w:sectPr w:rsidR="00622102" w:rsidRPr="00015203" w:rsidSect="002A137B">
          <w:headerReference w:type="even" r:id="rId39"/>
          <w:headerReference w:type="default" r:id="rId40"/>
          <w:footerReference w:type="default" r:id="rId41"/>
          <w:headerReference w:type="first" r:id="rId42"/>
          <w:type w:val="continuous"/>
          <w:pgSz w:w="11906" w:h="16838"/>
          <w:pgMar w:top="1440" w:right="1416" w:bottom="1440" w:left="1440" w:header="709" w:footer="709" w:gutter="0"/>
          <w:cols w:space="708"/>
          <w:docGrid w:linePitch="360"/>
        </w:sectPr>
      </w:pPr>
    </w:p>
    <w:p w14:paraId="249144DE" w14:textId="77777777" w:rsidR="00103CB1" w:rsidRPr="00015203" w:rsidRDefault="00103CB1">
      <w:pPr>
        <w:spacing w:after="0"/>
        <w:rPr>
          <w:b/>
          <w:bCs/>
          <w:color w:val="262626" w:themeColor="text1" w:themeTint="D9"/>
          <w:sz w:val="20"/>
        </w:rPr>
      </w:pPr>
      <w:r w:rsidRPr="00015203">
        <w:rPr>
          <w:b/>
          <w:bCs/>
          <w:color w:val="262626" w:themeColor="text1" w:themeTint="D9"/>
          <w:sz w:val="20"/>
        </w:rPr>
        <w:br w:type="page"/>
      </w:r>
    </w:p>
    <w:p w14:paraId="7606874F" w14:textId="262996F7" w:rsidR="00571E5F" w:rsidRPr="00015203" w:rsidRDefault="000E730D" w:rsidP="00D3247F">
      <w:pPr>
        <w:spacing w:after="0"/>
        <w:jc w:val="both"/>
        <w:rPr>
          <w:b/>
          <w:bCs/>
          <w:color w:val="262626" w:themeColor="text1" w:themeTint="D9"/>
          <w:sz w:val="20"/>
        </w:rPr>
      </w:pPr>
      <w:r w:rsidRPr="00015203">
        <w:rPr>
          <w:noProof/>
          <w:color w:val="4A442A" w:themeColor="background2" w:themeShade="40"/>
          <w:sz w:val="52"/>
          <w:szCs w:val="52"/>
          <w:lang w:eastAsia="en-GB"/>
        </w:rPr>
        <w:lastRenderedPageBreak/>
        <w:drawing>
          <wp:anchor distT="0" distB="0" distL="114300" distR="114300" simplePos="0" relativeHeight="251658247" behindDoc="0" locked="0" layoutInCell="1" allowOverlap="1" wp14:anchorId="64366B42" wp14:editId="2236D2AD">
            <wp:simplePos x="0" y="0"/>
            <wp:positionH relativeFrom="column">
              <wp:posOffset>4933950</wp:posOffset>
            </wp:positionH>
            <wp:positionV relativeFrom="paragraph">
              <wp:posOffset>7745730</wp:posOffset>
            </wp:positionV>
            <wp:extent cx="1102995" cy="1103630"/>
            <wp:effectExtent l="0" t="0" r="1905" b="127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centre-for-economics-and-business-research-cebr-logo-vector.png"/>
                    <pic:cNvPicPr/>
                  </pic:nvPicPr>
                  <pic:blipFill rotWithShape="1">
                    <a:blip r:embed="rId11" cstate="print">
                      <a:extLst>
                        <a:ext uri="{28A0092B-C50C-407E-A947-70E740481C1C}">
                          <a14:useLocalDpi xmlns:a14="http://schemas.microsoft.com/office/drawing/2010/main" val="0"/>
                        </a:ext>
                      </a:extLst>
                    </a:blip>
                    <a:srcRect l="23518" t="2617" r="23880" b="2657"/>
                    <a:stretch/>
                  </pic:blipFill>
                  <pic:spPr bwMode="auto">
                    <a:xfrm>
                      <a:off x="0" y="0"/>
                      <a:ext cx="1102995" cy="11036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571E5F" w:rsidRPr="00015203" w:rsidSect="00C26FD8">
      <w:headerReference w:type="even" r:id="rId43"/>
      <w:headerReference w:type="default" r:id="rId44"/>
      <w:footerReference w:type="default" r:id="rId45"/>
      <w:headerReference w:type="first" r:id="rId46"/>
      <w:footerReference w:type="first" r:id="rId47"/>
      <w:type w:val="continuous"/>
      <w:pgSz w:w="11906" w:h="16838"/>
      <w:pgMar w:top="1440" w:right="1440" w:bottom="1440" w:left="1440" w:header="709" w:footer="709" w:gutter="0"/>
      <w:cols w:num="2" w:space="28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0C7D4F" w14:textId="77777777" w:rsidR="005A7EF8" w:rsidRDefault="005A7EF8" w:rsidP="00717C6C">
      <w:r>
        <w:separator/>
      </w:r>
    </w:p>
    <w:p w14:paraId="28300682" w14:textId="77777777" w:rsidR="005A7EF8" w:rsidRDefault="005A7EF8"/>
  </w:endnote>
  <w:endnote w:type="continuationSeparator" w:id="0">
    <w:p w14:paraId="3C8C6BFF" w14:textId="77777777" w:rsidR="005A7EF8" w:rsidRDefault="005A7EF8" w:rsidP="00717C6C">
      <w:r>
        <w:continuationSeparator/>
      </w:r>
    </w:p>
    <w:p w14:paraId="7217F7CA" w14:textId="77777777" w:rsidR="005A7EF8" w:rsidRDefault="005A7EF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otham Light">
    <w:altName w:val="Arial"/>
    <w:charset w:val="00"/>
    <w:family w:val="modern"/>
    <w:pitch w:val="variable"/>
    <w:sig w:usb0="00000001" w:usb1="4000005B" w:usb2="00000000" w:usb3="00000000" w:csb0="0000009B"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Helvetica Neue LT Std 65 Medium">
    <w:altName w:val="Arial"/>
    <w:charset w:val="00"/>
    <w:family w:val="swiss"/>
    <w:pitch w:val="variable"/>
    <w:sig w:usb0="800000AF" w:usb1="4000204A" w:usb2="00000000" w:usb3="00000000" w:csb0="00000001" w:csb1="00000000"/>
  </w:font>
  <w:font w:name="HelveticaNeueLT Std Med">
    <w:altName w:val="Arial"/>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NeueLT Std Lt">
    <w:altName w:val="Arial"/>
    <w:charset w:val="00"/>
    <w:family w:val="swiss"/>
    <w:pitch w:val="variable"/>
    <w:sig w:usb0="800000AF" w:usb1="4000204A" w:usb2="00000000" w:usb3="00000000" w:csb0="00000001" w:csb1="00000000"/>
  </w:font>
  <w:font w:name="Helvetica Neue">
    <w:altName w:val="Sylfaen"/>
    <w:charset w:val="00"/>
    <w:family w:val="auto"/>
    <w:pitch w:val="variable"/>
    <w:sig w:usb0="E50002FF" w:usb1="500079DB" w:usb2="00000010" w:usb3="00000000" w:csb0="00000001" w:csb1="00000000"/>
  </w:font>
  <w:font w:name="HelveticaNeueLT Std">
    <w:altName w:val="Arial"/>
    <w:panose1 w:val="00000000000000000000"/>
    <w:charset w:val="00"/>
    <w:family w:val="swiss"/>
    <w:notTrueType/>
    <w:pitch w:val="variable"/>
    <w:sig w:usb0="800000AF" w:usb1="4000204A" w:usb2="00000000" w:usb3="00000000" w:csb0="00000001" w:csb1="00000000"/>
  </w:font>
  <w:font w:name="Helvetica Neue Light">
    <w:altName w:val="Times New Roman"/>
    <w:charset w:val="00"/>
    <w:family w:val="auto"/>
    <w:pitch w:val="variable"/>
    <w:sig w:usb0="00000001" w:usb1="5000205B" w:usb2="00000002" w:usb3="00000000" w:csb0="00000007" w:csb1="00000000"/>
  </w:font>
  <w:font w:name="Cambria Math">
    <w:panose1 w:val="02040503050406030204"/>
    <w:charset w:val="00"/>
    <w:family w:val="roman"/>
    <w:pitch w:val="variable"/>
    <w:sig w:usb0="E00006FF" w:usb1="420024FF" w:usb2="02000000" w:usb3="00000000" w:csb0="0000019F" w:csb1="00000000"/>
  </w:font>
  <w:font w:name="Lucida Console">
    <w:panose1 w:val="020B0609040504020204"/>
    <w:charset w:val="00"/>
    <w:family w:val="modern"/>
    <w:pitch w:val="fixed"/>
    <w:sig w:usb0="8000028F" w:usb1="00001800" w:usb2="00000000" w:usb3="00000000" w:csb0="0000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5376217"/>
      <w:docPartObj>
        <w:docPartGallery w:val="Page Numbers (Bottom of Page)"/>
        <w:docPartUnique/>
      </w:docPartObj>
    </w:sdtPr>
    <w:sdtEndPr>
      <w:rPr>
        <w:noProof/>
        <w:color w:val="auto"/>
        <w:sz w:val="20"/>
        <w:szCs w:val="28"/>
      </w:rPr>
    </w:sdtEndPr>
    <w:sdtContent>
      <w:p w14:paraId="08C24765" w14:textId="77777777" w:rsidR="00023664" w:rsidRPr="001A0CC4" w:rsidRDefault="00023664" w:rsidP="00023664">
        <w:pPr>
          <w:pStyle w:val="Footer"/>
          <w:jc w:val="right"/>
          <w:rPr>
            <w:color w:val="auto"/>
            <w:sz w:val="20"/>
            <w:szCs w:val="28"/>
          </w:rPr>
        </w:pPr>
        <w:r w:rsidRPr="001A0CC4">
          <w:rPr>
            <w:color w:val="auto"/>
            <w:sz w:val="20"/>
            <w:szCs w:val="28"/>
          </w:rPr>
          <w:fldChar w:fldCharType="begin"/>
        </w:r>
        <w:r w:rsidRPr="001A0CC4">
          <w:rPr>
            <w:color w:val="auto"/>
            <w:sz w:val="20"/>
            <w:szCs w:val="28"/>
          </w:rPr>
          <w:instrText xml:space="preserve"> PAGE   \* MERGEFORMAT </w:instrText>
        </w:r>
        <w:r w:rsidRPr="001A0CC4">
          <w:rPr>
            <w:color w:val="auto"/>
            <w:sz w:val="20"/>
            <w:szCs w:val="28"/>
          </w:rPr>
          <w:fldChar w:fldCharType="separate"/>
        </w:r>
        <w:r>
          <w:rPr>
            <w:sz w:val="20"/>
            <w:szCs w:val="28"/>
          </w:rPr>
          <w:t>4</w:t>
        </w:r>
        <w:r w:rsidRPr="001A0CC4">
          <w:rPr>
            <w:noProof/>
            <w:color w:val="auto"/>
            <w:sz w:val="20"/>
            <w:szCs w:val="28"/>
          </w:rPr>
          <w:fldChar w:fldCharType="end"/>
        </w:r>
      </w:p>
    </w:sdtContent>
  </w:sdt>
  <w:p w14:paraId="5F045512" w14:textId="77777777" w:rsidR="00E764D6" w:rsidRPr="00DA31EA" w:rsidRDefault="00E764D6" w:rsidP="002C0012">
    <w:pPr>
      <w:pStyle w:val="Footer"/>
      <w:tabs>
        <w:tab w:val="clear" w:pos="4536"/>
        <w:tab w:val="clear" w:pos="9072"/>
        <w:tab w:val="left" w:pos="6840"/>
      </w:tabs>
      <w:rPr>
        <w:rFonts w:ascii="HelveticaNeueLT Std" w:hAnsi="HelveticaNeueLT Std"/>
        <w:sz w:val="16"/>
        <w:szCs w:val="16"/>
      </w:rPr>
    </w:pPr>
    <w:r>
      <w:rPr>
        <w:noProof/>
        <w:lang w:eastAsia="en-GB"/>
      </w:rPr>
      <w:drawing>
        <wp:anchor distT="0" distB="0" distL="114300" distR="114300" simplePos="0" relativeHeight="251658242" behindDoc="1" locked="0" layoutInCell="1" allowOverlap="1" wp14:anchorId="1A0F20C4" wp14:editId="5168CE1A">
          <wp:simplePos x="0" y="0"/>
          <wp:positionH relativeFrom="column">
            <wp:posOffset>-983673</wp:posOffset>
          </wp:positionH>
          <wp:positionV relativeFrom="paragraph">
            <wp:posOffset>375434</wp:posOffset>
          </wp:positionV>
          <wp:extent cx="7760278" cy="551972"/>
          <wp:effectExtent l="0" t="0" r="0" b="0"/>
          <wp:wrapNone/>
          <wp:docPr id="1467983484" name="Picture 1467983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Artboard 27 copy 12.png"/>
                  <pic:cNvPicPr/>
                </pic:nvPicPr>
                <pic:blipFill>
                  <a:blip r:embed="rId1">
                    <a:extLst>
                      <a:ext uri="{28A0092B-C50C-407E-A947-70E740481C1C}">
                        <a14:useLocalDpi xmlns:a14="http://schemas.microsoft.com/office/drawing/2010/main" val="0"/>
                      </a:ext>
                    </a:extLst>
                  </a:blip>
                  <a:stretch>
                    <a:fillRect/>
                  </a:stretch>
                </pic:blipFill>
                <pic:spPr>
                  <a:xfrm>
                    <a:off x="0" y="0"/>
                    <a:ext cx="7853179" cy="558580"/>
                  </a:xfrm>
                  <a:prstGeom prst="rect">
                    <a:avLst/>
                  </a:prstGeom>
                </pic:spPr>
              </pic:pic>
            </a:graphicData>
          </a:graphic>
          <wp14:sizeRelH relativeFrom="page">
            <wp14:pctWidth>0</wp14:pctWidth>
          </wp14:sizeRelH>
          <wp14:sizeRelV relativeFrom="page">
            <wp14:pctHeight>0</wp14:pctHeight>
          </wp14:sizeRelV>
        </wp:anchor>
      </w:drawing>
    </w:r>
  </w:p>
  <w:p w14:paraId="44408BE0" w14:textId="066C4D25" w:rsidR="00E764D6" w:rsidRDefault="00705119">
    <w:pPr>
      <w:pStyle w:val="Footer"/>
    </w:pPr>
    <w:r>
      <w:rPr>
        <w:rFonts w:ascii="HelveticaNeueLT Std" w:hAnsi="HelveticaNeueLT Std"/>
        <w:i/>
        <w:iCs/>
        <w:noProof/>
        <w:color w:val="A6A6A6" w:themeColor="background1" w:themeShade="A6"/>
        <w:sz w:val="16"/>
        <w:szCs w:val="16"/>
        <w:lang w:eastAsia="en-GB"/>
      </w:rPr>
      <mc:AlternateContent>
        <mc:Choice Requires="wps">
          <w:drawing>
            <wp:anchor distT="0" distB="0" distL="114300" distR="114300" simplePos="0" relativeHeight="251658243" behindDoc="0" locked="0" layoutInCell="1" allowOverlap="1" wp14:anchorId="5D555336" wp14:editId="7F8B34A4">
              <wp:simplePos x="0" y="0"/>
              <wp:positionH relativeFrom="column">
                <wp:posOffset>-67733</wp:posOffset>
              </wp:positionH>
              <wp:positionV relativeFrom="paragraph">
                <wp:posOffset>270087</wp:posOffset>
              </wp:positionV>
              <wp:extent cx="2573866" cy="315595"/>
              <wp:effectExtent l="0" t="0" r="0" b="0"/>
              <wp:wrapNone/>
              <wp:docPr id="250" name="Text Box 250"/>
              <wp:cNvGraphicFramePr/>
              <a:graphic xmlns:a="http://schemas.openxmlformats.org/drawingml/2006/main">
                <a:graphicData uri="http://schemas.microsoft.com/office/word/2010/wordprocessingShape">
                  <wps:wsp>
                    <wps:cNvSpPr txBox="1"/>
                    <wps:spPr>
                      <a:xfrm>
                        <a:off x="0" y="0"/>
                        <a:ext cx="2573866" cy="315595"/>
                      </a:xfrm>
                      <a:prstGeom prst="rect">
                        <a:avLst/>
                      </a:prstGeom>
                      <a:noFill/>
                      <a:ln w="6350">
                        <a:noFill/>
                      </a:ln>
                    </wps:spPr>
                    <wps:txbx>
                      <w:txbxContent>
                        <w:p w14:paraId="1B1BE01A" w14:textId="77777777" w:rsidR="00E764D6" w:rsidRPr="00C45B80" w:rsidRDefault="00E764D6" w:rsidP="00C45B80">
                          <w:pPr>
                            <w:rPr>
                              <w:rFonts w:ascii="Helvetica Neue Light" w:hAnsi="Helvetica Neue Light"/>
                              <w:i/>
                              <w:iCs/>
                              <w:color w:val="FFFFFF" w:themeColor="background1"/>
                              <w:sz w:val="16"/>
                              <w:szCs w:val="16"/>
                            </w:rPr>
                          </w:pPr>
                          <w:r w:rsidRPr="00C45B80">
                            <w:rPr>
                              <w:rFonts w:ascii="Helvetica Neue Light" w:hAnsi="Helvetica Neue Light"/>
                              <w:color w:val="FFFFFF" w:themeColor="background1"/>
                              <w:sz w:val="16"/>
                              <w:szCs w:val="16"/>
                            </w:rPr>
                            <w:sym w:font="Symbol" w:char="F0D3"/>
                          </w:r>
                          <w:r w:rsidRPr="00C45B80">
                            <w:rPr>
                              <w:rFonts w:ascii="Helvetica Neue Light" w:hAnsi="Helvetica Neue Light"/>
                              <w:i/>
                              <w:iCs/>
                              <w:color w:val="FFFFFF" w:themeColor="background1"/>
                              <w:sz w:val="16"/>
                              <w:szCs w:val="16"/>
                            </w:rPr>
                            <w:t xml:space="preserve"> Centre for Economics and Business Research</w:t>
                          </w:r>
                        </w:p>
                        <w:p w14:paraId="17710690" w14:textId="77777777" w:rsidR="00E764D6" w:rsidRPr="00C45B80" w:rsidRDefault="00E764D6" w:rsidP="00C45B80">
                          <w:pPr>
                            <w:rPr>
                              <w:color w:val="FFFFFF" w:themeColor="background1"/>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555336" id="_x0000_t202" coordsize="21600,21600" o:spt="202" path="m,l,21600r21600,l21600,xe">
              <v:stroke joinstyle="miter"/>
              <v:path gradientshapeok="t" o:connecttype="rect"/>
            </v:shapetype>
            <v:shape id="Text Box 250" o:spid="_x0000_s1056" type="#_x0000_t202" style="position:absolute;margin-left:-5.35pt;margin-top:21.25pt;width:202.65pt;height:24.8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" filled="f" stroked="f" strokeweight=".5pt">
              <v:textbox>
                <w:txbxContent>
                  <w:p w14:paraId="1B1BE01A" w14:textId="77777777" w:rsidR="00E764D6" w:rsidRPr="00C45B80" w:rsidRDefault="00E764D6" w:rsidP="00C45B80">
                    <w:pPr>
                      <w:rPr>
                        <w:rFonts w:ascii="Helvetica Neue Light" w:hAnsi="Helvetica Neue Light"/>
                        <w:i/>
                        <w:iCs/>
                        <w:color w:val="FFFFFF" w:themeColor="background1"/>
                        <w:sz w:val="16"/>
                        <w:szCs w:val="16"/>
                      </w:rPr>
                    </w:pPr>
                    <w:r w:rsidRPr="00C45B80">
                      <w:rPr>
                        <w:rFonts w:ascii="Helvetica Neue Light" w:hAnsi="Helvetica Neue Light"/>
                        <w:color w:val="FFFFFF" w:themeColor="background1"/>
                        <w:sz w:val="16"/>
                        <w:szCs w:val="16"/>
                      </w:rPr>
                      <w:sym w:font="Symbol" w:char="F0D3"/>
                    </w:r>
                    <w:r w:rsidRPr="00C45B80">
                      <w:rPr>
                        <w:rFonts w:ascii="Helvetica Neue Light" w:hAnsi="Helvetica Neue Light"/>
                        <w:i/>
                        <w:iCs/>
                        <w:color w:val="FFFFFF" w:themeColor="background1"/>
                        <w:sz w:val="16"/>
                        <w:szCs w:val="16"/>
                      </w:rPr>
                      <w:t xml:space="preserve"> Centre for Economics and Business Research</w:t>
                    </w:r>
                  </w:p>
                  <w:p w14:paraId="17710690" w14:textId="77777777" w:rsidR="00E764D6" w:rsidRPr="00C45B80" w:rsidRDefault="00E764D6" w:rsidP="00C45B80">
                    <w:pPr>
                      <w:rPr>
                        <w:color w:val="FFFFFF" w:themeColor="background1"/>
                        <w:sz w:val="21"/>
                        <w:szCs w:val="21"/>
                      </w:rPr>
                    </w:pPr>
                  </w:p>
                </w:txbxContent>
              </v:textbox>
            </v:shape>
          </w:pict>
        </mc:Fallback>
      </mc:AlternateContent>
    </w:r>
    <w:r w:rsidR="00E764D6" w:rsidRPr="001E3806">
      <w:rPr>
        <w:rFonts w:ascii="HelveticaNeueLT Std" w:hAnsi="HelveticaNeueLT Std"/>
        <w:noProof/>
        <w:sz w:val="16"/>
        <w:szCs w:val="16"/>
        <w:lang w:eastAsia="en-GB"/>
      </w:rPr>
      <w:drawing>
        <wp:anchor distT="0" distB="0" distL="114300" distR="114300" simplePos="0" relativeHeight="251658244" behindDoc="0" locked="0" layoutInCell="1" allowOverlap="1" wp14:anchorId="3CB79F8D" wp14:editId="14B92A8E">
          <wp:simplePos x="0" y="0"/>
          <wp:positionH relativeFrom="column">
            <wp:posOffset>5281930</wp:posOffset>
          </wp:positionH>
          <wp:positionV relativeFrom="paragraph">
            <wp:posOffset>347380</wp:posOffset>
          </wp:positionV>
          <wp:extent cx="443001" cy="154959"/>
          <wp:effectExtent l="0" t="0" r="1905" b="0"/>
          <wp:wrapNone/>
          <wp:docPr id="1566000223" name="Picture 1566000223">
            <a:extLst xmlns:a="http://schemas.openxmlformats.org/drawingml/2006/main">
              <a:ext uri="{FF2B5EF4-FFF2-40B4-BE49-F238E27FC236}">
                <a16:creationId xmlns:a16="http://schemas.microsoft.com/office/drawing/2014/main" id="{35CD60BD-E3A3-3343-BC43-7C81A3473D05}"/>
              </a:ext>
            </a:extLst>
          </wp:docPr>
          <wp:cNvGraphicFramePr/>
          <a:graphic xmlns:a="http://schemas.openxmlformats.org/drawingml/2006/main">
            <a:graphicData uri="http://schemas.openxmlformats.org/drawingml/2006/picture">
              <pic:pic xmlns:pic="http://schemas.openxmlformats.org/drawingml/2006/picture">
                <pic:nvPicPr>
                  <pic:cNvPr id="7" name="Google Shape;21;p38">
                    <a:extLst>
                      <a:ext uri="{FF2B5EF4-FFF2-40B4-BE49-F238E27FC236}">
                        <a16:creationId xmlns:a16="http://schemas.microsoft.com/office/drawing/2014/main" id="{35CD60BD-E3A3-3343-BC43-7C81A3473D05}"/>
                      </a:ext>
                    </a:extLst>
                  </pic:cNvPr>
                  <pic:cNvPicPr preferRelativeResize="0"/>
                </pic:nvPicPr>
                <pic:blipFill rotWithShape="1">
                  <a:blip r:embed="rId2">
                    <a:alphaModFix/>
                    <a:extLst>
                      <a:ext uri="{28A0092B-C50C-407E-A947-70E740481C1C}">
                        <a14:useLocalDpi xmlns:a14="http://schemas.microsoft.com/office/drawing/2010/main" val="0"/>
                      </a:ext>
                    </a:extLst>
                  </a:blip>
                  <a:srcRect/>
                  <a:stretch/>
                </pic:blipFill>
                <pic:spPr>
                  <a:xfrm>
                    <a:off x="0" y="0"/>
                    <a:ext cx="443001" cy="154959"/>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7625090"/>
      <w:docPartObj>
        <w:docPartGallery w:val="Page Numbers (Bottom of Page)"/>
        <w:docPartUnique/>
      </w:docPartObj>
    </w:sdtPr>
    <w:sdtEndPr>
      <w:rPr>
        <w:noProof/>
        <w:color w:val="auto"/>
        <w:sz w:val="20"/>
        <w:szCs w:val="28"/>
      </w:rPr>
    </w:sdtEndPr>
    <w:sdtContent>
      <w:p w14:paraId="74047C38" w14:textId="608BA2BB" w:rsidR="001A0CC4" w:rsidRPr="001A0CC4" w:rsidRDefault="001A0CC4">
        <w:pPr>
          <w:pStyle w:val="Footer"/>
          <w:jc w:val="right"/>
          <w:rPr>
            <w:color w:val="auto"/>
            <w:sz w:val="20"/>
            <w:szCs w:val="28"/>
          </w:rPr>
        </w:pPr>
        <w:r w:rsidRPr="001A0CC4">
          <w:rPr>
            <w:color w:val="auto"/>
            <w:sz w:val="20"/>
            <w:szCs w:val="28"/>
          </w:rPr>
          <w:fldChar w:fldCharType="begin"/>
        </w:r>
        <w:r w:rsidRPr="001A0CC4">
          <w:rPr>
            <w:color w:val="auto"/>
            <w:sz w:val="20"/>
            <w:szCs w:val="28"/>
          </w:rPr>
          <w:instrText xml:space="preserve"> PAGE   \* MERGEFORMAT </w:instrText>
        </w:r>
        <w:r w:rsidRPr="001A0CC4">
          <w:rPr>
            <w:color w:val="auto"/>
            <w:sz w:val="20"/>
            <w:szCs w:val="28"/>
          </w:rPr>
          <w:fldChar w:fldCharType="separate"/>
        </w:r>
        <w:r w:rsidRPr="001A0CC4">
          <w:rPr>
            <w:noProof/>
            <w:color w:val="auto"/>
            <w:sz w:val="20"/>
            <w:szCs w:val="28"/>
          </w:rPr>
          <w:t>2</w:t>
        </w:r>
        <w:r w:rsidRPr="001A0CC4">
          <w:rPr>
            <w:noProof/>
            <w:color w:val="auto"/>
            <w:sz w:val="20"/>
            <w:szCs w:val="28"/>
          </w:rPr>
          <w:fldChar w:fldCharType="end"/>
        </w:r>
      </w:p>
    </w:sdtContent>
  </w:sdt>
  <w:p w14:paraId="578A9DC8" w14:textId="4A7D6FDB" w:rsidR="00E764D6" w:rsidRDefault="00E764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7817772"/>
      <w:docPartObj>
        <w:docPartGallery w:val="Page Numbers (Bottom of Page)"/>
        <w:docPartUnique/>
      </w:docPartObj>
    </w:sdtPr>
    <w:sdtEndPr>
      <w:rPr>
        <w:noProof/>
        <w:color w:val="auto"/>
        <w:sz w:val="20"/>
        <w:szCs w:val="28"/>
      </w:rPr>
    </w:sdtEndPr>
    <w:sdtContent>
      <w:p w14:paraId="215045C4" w14:textId="77777777" w:rsidR="002A137B" w:rsidRPr="001A0CC4" w:rsidRDefault="002A137B">
        <w:pPr>
          <w:pStyle w:val="Footer"/>
          <w:jc w:val="right"/>
          <w:rPr>
            <w:color w:val="auto"/>
            <w:sz w:val="20"/>
            <w:szCs w:val="28"/>
          </w:rPr>
        </w:pPr>
        <w:r w:rsidRPr="001A0CC4">
          <w:rPr>
            <w:color w:val="auto"/>
            <w:sz w:val="20"/>
            <w:szCs w:val="28"/>
          </w:rPr>
          <w:fldChar w:fldCharType="begin"/>
        </w:r>
        <w:r w:rsidRPr="001A0CC4">
          <w:rPr>
            <w:color w:val="auto"/>
            <w:sz w:val="20"/>
            <w:szCs w:val="28"/>
          </w:rPr>
          <w:instrText xml:space="preserve"> PAGE   \* MERGEFORMAT </w:instrText>
        </w:r>
        <w:r w:rsidRPr="001A0CC4">
          <w:rPr>
            <w:color w:val="auto"/>
            <w:sz w:val="20"/>
            <w:szCs w:val="28"/>
          </w:rPr>
          <w:fldChar w:fldCharType="separate"/>
        </w:r>
        <w:r w:rsidRPr="001A0CC4">
          <w:rPr>
            <w:noProof/>
            <w:color w:val="auto"/>
            <w:sz w:val="20"/>
            <w:szCs w:val="28"/>
          </w:rPr>
          <w:t>2</w:t>
        </w:r>
        <w:r w:rsidRPr="001A0CC4">
          <w:rPr>
            <w:noProof/>
            <w:color w:val="auto"/>
            <w:sz w:val="20"/>
            <w:szCs w:val="28"/>
          </w:rPr>
          <w:fldChar w:fldCharType="end"/>
        </w:r>
      </w:p>
    </w:sdtContent>
  </w:sdt>
  <w:p w14:paraId="1F912DF2" w14:textId="77777777" w:rsidR="002A137B" w:rsidRDefault="002A137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2384B" w14:textId="77777777" w:rsidR="00E764D6" w:rsidRPr="00DA31EA" w:rsidRDefault="00E764D6" w:rsidP="00DA31EA">
    <w:pPr>
      <w:pStyle w:val="Footer"/>
      <w:tabs>
        <w:tab w:val="clear" w:pos="4536"/>
        <w:tab w:val="clear" w:pos="9072"/>
        <w:tab w:val="left" w:pos="6840"/>
      </w:tabs>
      <w:rPr>
        <w:rFonts w:ascii="HelveticaNeueLT Std" w:hAnsi="HelveticaNeueLT Std"/>
        <w:sz w:val="16"/>
        <w:szCs w:val="16"/>
      </w:rPr>
    </w:pPr>
    <w:r w:rsidRPr="00DA31EA">
      <w:rPr>
        <w:rFonts w:ascii="HelveticaNeueLT Std" w:hAnsi="HelveticaNeueLT Std" w:cstheme="minorHAnsi"/>
        <w:noProof/>
        <w:sz w:val="16"/>
        <w:szCs w:val="16"/>
        <w:lang w:eastAsia="en-GB"/>
      </w:rPr>
      <w:drawing>
        <wp:anchor distT="0" distB="0" distL="114300" distR="114300" simplePos="0" relativeHeight="251658241" behindDoc="0" locked="1" layoutInCell="1" allowOverlap="1" wp14:anchorId="07DD68FF" wp14:editId="5411BF73">
          <wp:simplePos x="0" y="0"/>
          <wp:positionH relativeFrom="page">
            <wp:posOffset>6336665</wp:posOffset>
          </wp:positionH>
          <wp:positionV relativeFrom="page">
            <wp:posOffset>10318750</wp:posOffset>
          </wp:positionV>
          <wp:extent cx="431800" cy="154305"/>
          <wp:effectExtent l="0" t="0" r="6350" b="0"/>
          <wp:wrapNone/>
          <wp:docPr id="624019700" name="Picture 624019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br_white_logo_text.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31800" cy="154305"/>
                  </a:xfrm>
                  <a:prstGeom prst="rect">
                    <a:avLst/>
                  </a:prstGeom>
                </pic:spPr>
              </pic:pic>
            </a:graphicData>
          </a:graphic>
          <wp14:sizeRelH relativeFrom="page">
            <wp14:pctWidth>0</wp14:pctWidth>
          </wp14:sizeRelH>
          <wp14:sizeRelV relativeFrom="page">
            <wp14:pctHeight>0</wp14:pctHeight>
          </wp14:sizeRelV>
        </wp:anchor>
      </w:drawing>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71A4F" w14:textId="77777777" w:rsidR="00E764D6" w:rsidRDefault="00E764D6" w:rsidP="008B0A02">
    <w:pPr>
      <w:pStyle w:val="Footer"/>
    </w:pPr>
    <w:r>
      <w:rPr>
        <w:noProof/>
        <w:lang w:eastAsia="en-GB"/>
      </w:rPr>
      <w:drawing>
        <wp:anchor distT="0" distB="0" distL="114300" distR="114300" simplePos="0" relativeHeight="251658240" behindDoc="0" locked="1" layoutInCell="1" allowOverlap="1" wp14:anchorId="09D16F2F" wp14:editId="42A32242">
          <wp:simplePos x="0" y="0"/>
          <wp:positionH relativeFrom="page">
            <wp:posOffset>5796915</wp:posOffset>
          </wp:positionH>
          <wp:positionV relativeFrom="page">
            <wp:posOffset>9541510</wp:posOffset>
          </wp:positionV>
          <wp:extent cx="986400" cy="345600"/>
          <wp:effectExtent l="0" t="0" r="4445" b="0"/>
          <wp:wrapNone/>
          <wp:docPr id="223532352" name="Picture 223532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br logotyp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86400" cy="3456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200F77" w14:textId="77777777" w:rsidR="005A7EF8" w:rsidRDefault="005A7EF8" w:rsidP="00717C6C"/>
    <w:p w14:paraId="63FE272A" w14:textId="77777777" w:rsidR="005A7EF8" w:rsidRDefault="005A7EF8"/>
  </w:footnote>
  <w:footnote w:type="continuationSeparator" w:id="0">
    <w:p w14:paraId="07A6B793" w14:textId="77777777" w:rsidR="005A7EF8" w:rsidRDefault="005A7EF8" w:rsidP="00717C6C">
      <w:r>
        <w:continuationSeparator/>
      </w:r>
    </w:p>
    <w:p w14:paraId="21DD43BE" w14:textId="77777777" w:rsidR="005A7EF8" w:rsidRDefault="005A7EF8"/>
  </w:footnote>
  <w:footnote w:id="1">
    <w:p w14:paraId="775DC030" w14:textId="18F75BCD" w:rsidR="00B97591" w:rsidRPr="009E6D25" w:rsidRDefault="00733D64" w:rsidP="00B97591">
      <w:pPr>
        <w:spacing w:after="120" w:line="278" w:lineRule="auto"/>
        <w:jc w:val="both"/>
        <w:rPr>
          <w:color w:val="6D6E71" w:themeColor="accent3"/>
          <w:sz w:val="18"/>
          <w:szCs w:val="16"/>
        </w:rPr>
      </w:pPr>
      <w:r>
        <w:rPr>
          <w:rStyle w:val="FootnoteReference"/>
          <w:color w:val="6D6E71" w:themeColor="accent3"/>
          <w:position w:val="0"/>
          <w:sz w:val="18"/>
          <w:szCs w:val="16"/>
        </w:rPr>
        <w:t>[</w:t>
      </w:r>
      <w:r>
        <w:rPr>
          <w:color w:val="6D6E71" w:themeColor="accent3"/>
          <w:sz w:val="18"/>
          <w:szCs w:val="16"/>
        </w:rPr>
        <w:t xml:space="preserve">1] </w:t>
      </w:r>
      <w:r w:rsidR="00B97591">
        <w:rPr>
          <w:color w:val="6D6E71" w:themeColor="accent3"/>
          <w:sz w:val="18"/>
          <w:szCs w:val="16"/>
        </w:rPr>
        <w:t xml:space="preserve">Note: </w:t>
      </w:r>
      <w:r w:rsidR="00B97591" w:rsidRPr="00DA301F">
        <w:rPr>
          <w:color w:val="6D6E71" w:themeColor="accent3"/>
          <w:sz w:val="18"/>
          <w:szCs w:val="16"/>
        </w:rPr>
        <w:t xml:space="preserve">out-commuting data for the Covid-19 pandemic years (2020 and 2021) were collected on a ‘usual workplace’ basis, with furloughed workers counted according to where they would ordinarily have worked rather than where they were located during lockdowns. To avoid distortions arising from these exceptional data-collection methods and the wider mobility restrictions in place during this period, these years were excluded from the estimation sample used to derive the elasticity. </w:t>
      </w:r>
    </w:p>
  </w:footnote>
  <w:footnote w:id="2">
    <w:p w14:paraId="307BF952" w14:textId="2E9208CB" w:rsidR="00D62F1C" w:rsidRDefault="00D62F1C" w:rsidP="00D62F1C">
      <w:pPr>
        <w:spacing w:after="120" w:line="278" w:lineRule="auto"/>
        <w:jc w:val="both"/>
      </w:pPr>
      <w:r>
        <w:rPr>
          <w:color w:val="6D6E71" w:themeColor="accent3"/>
          <w:sz w:val="18"/>
          <w:szCs w:val="16"/>
        </w:rPr>
        <w:t>[</w:t>
      </w:r>
      <w:r w:rsidRPr="00D62F1C">
        <w:rPr>
          <w:rStyle w:val="FootnoteReference"/>
          <w:color w:val="6D6E71" w:themeColor="accent3"/>
          <w:position w:val="0"/>
          <w:sz w:val="18"/>
          <w:szCs w:val="16"/>
        </w:rPr>
        <w:footnoteRef/>
      </w:r>
      <w:r>
        <w:rPr>
          <w:color w:val="6D6E71" w:themeColor="accent3"/>
          <w:sz w:val="18"/>
          <w:szCs w:val="16"/>
        </w:rPr>
        <w:t xml:space="preserve">] </w:t>
      </w:r>
      <w:hyperlink r:id="rId1" w:history="1">
        <w:r w:rsidR="00D026A8" w:rsidRPr="00D026A8">
          <w:rPr>
            <w:rStyle w:val="Hyperlink"/>
            <w:sz w:val="18"/>
            <w:szCs w:val="16"/>
          </w:rPr>
          <w:t>The National Assembly for Wales</w:t>
        </w:r>
      </w:hyperlink>
      <w:r w:rsidR="00D026A8" w:rsidRPr="00D026A8">
        <w:rPr>
          <w:color w:val="6D6E71" w:themeColor="accent3"/>
          <w:sz w:val="18"/>
          <w:szCs w:val="16"/>
        </w:rPr>
        <w:t xml:space="preserve"> previously published analysis illustrating the scale of out-commuting flows by industry</w:t>
      </w:r>
      <w:r w:rsidR="00D026A8">
        <w:rPr>
          <w:color w:val="6D6E71" w:themeColor="accent3"/>
          <w:sz w:val="18"/>
          <w:szCs w:val="16"/>
        </w:rPr>
        <w:t xml:space="preserve"> using Census 2001 data. H</w:t>
      </w:r>
      <w:r w:rsidR="00D026A8" w:rsidRPr="00D026A8">
        <w:rPr>
          <w:color w:val="6D6E71" w:themeColor="accent3"/>
          <w:sz w:val="18"/>
          <w:szCs w:val="16"/>
        </w:rPr>
        <w:t xml:space="preserve">owever, this breakdown has not been replicated in subsequent Census releases. Given the </w:t>
      </w:r>
      <w:r w:rsidR="00D026A8">
        <w:rPr>
          <w:color w:val="6D6E71" w:themeColor="accent3"/>
          <w:sz w:val="18"/>
          <w:szCs w:val="16"/>
        </w:rPr>
        <w:t>vint</w:t>
      </w:r>
      <w:r w:rsidR="00D026A8" w:rsidRPr="00D026A8">
        <w:rPr>
          <w:color w:val="6D6E71" w:themeColor="accent3"/>
          <w:sz w:val="18"/>
          <w:szCs w:val="16"/>
        </w:rPr>
        <w:t xml:space="preserve">age of </w:t>
      </w:r>
      <w:r w:rsidR="00D026A8">
        <w:rPr>
          <w:color w:val="6D6E71" w:themeColor="accent3"/>
          <w:sz w:val="18"/>
          <w:szCs w:val="16"/>
        </w:rPr>
        <w:t>this</w:t>
      </w:r>
      <w:r w:rsidR="00D026A8" w:rsidRPr="00D026A8">
        <w:rPr>
          <w:color w:val="6D6E71" w:themeColor="accent3"/>
          <w:sz w:val="18"/>
          <w:szCs w:val="16"/>
        </w:rPr>
        <w:t xml:space="preserve"> statistic, we have derived updated estimates of out-commuting from Wales using publicly available origin–destination workplace data, </w:t>
      </w:r>
      <w:r w:rsidR="00D026A8">
        <w:rPr>
          <w:color w:val="6D6E71" w:themeColor="accent3"/>
          <w:sz w:val="18"/>
          <w:szCs w:val="16"/>
        </w:rPr>
        <w:t>which are segmented</w:t>
      </w:r>
      <w:r w:rsidR="00D026A8" w:rsidRPr="00D026A8">
        <w:rPr>
          <w:color w:val="6D6E71" w:themeColor="accent3"/>
          <w:sz w:val="18"/>
          <w:szCs w:val="16"/>
        </w:rPr>
        <w:t xml:space="preserve"> separate</w:t>
      </w:r>
      <w:r w:rsidR="00D026A8">
        <w:rPr>
          <w:color w:val="6D6E71" w:themeColor="accent3"/>
          <w:sz w:val="18"/>
          <w:szCs w:val="16"/>
        </w:rPr>
        <w:t>ly by</w:t>
      </w:r>
      <w:r w:rsidR="00D026A8" w:rsidRPr="00D026A8">
        <w:rPr>
          <w:color w:val="6D6E71" w:themeColor="accent3"/>
          <w:sz w:val="18"/>
          <w:szCs w:val="16"/>
        </w:rPr>
        <w:t xml:space="preserve"> industry and region-of-work. </w:t>
      </w:r>
    </w:p>
  </w:footnote>
  <w:footnote w:id="3">
    <w:p w14:paraId="23C8F22D" w14:textId="2F92DAA5" w:rsidR="0090110B" w:rsidRPr="0090110B" w:rsidRDefault="0090110B" w:rsidP="0090110B">
      <w:pPr>
        <w:spacing w:after="120" w:line="278" w:lineRule="auto"/>
        <w:jc w:val="both"/>
        <w:rPr>
          <w:color w:val="6D6E71" w:themeColor="accent3"/>
          <w:sz w:val="18"/>
          <w:szCs w:val="16"/>
        </w:rPr>
      </w:pPr>
      <w:r w:rsidRPr="0090110B">
        <w:rPr>
          <w:rStyle w:val="FootnoteReference"/>
          <w:color w:val="6D6E71" w:themeColor="accent3"/>
          <w:position w:val="0"/>
          <w:sz w:val="22"/>
          <w:vertAlign w:val="superscript"/>
        </w:rPr>
        <w:footnoteRef/>
      </w:r>
      <w:r>
        <w:t xml:space="preserve"> </w:t>
      </w:r>
      <w:r w:rsidRPr="00015203">
        <w:rPr>
          <w:color w:val="6D6E71" w:themeColor="accent3"/>
          <w:sz w:val="18"/>
          <w:szCs w:val="16"/>
        </w:rPr>
        <w:t>Cells highlighted in grey denote estimates impacted by suppression</w:t>
      </w:r>
    </w:p>
  </w:footnote>
  <w:footnote w:id="4">
    <w:p w14:paraId="7A46514F" w14:textId="4A52DA20" w:rsidR="00E555B9" w:rsidRPr="007772F8" w:rsidRDefault="007772F8" w:rsidP="007772F8">
      <w:pPr>
        <w:spacing w:after="120" w:line="278" w:lineRule="auto"/>
        <w:jc w:val="both"/>
        <w:rPr>
          <w:color w:val="6D6E71" w:themeColor="accent3"/>
          <w:sz w:val="18"/>
          <w:szCs w:val="16"/>
        </w:rPr>
      </w:pPr>
      <w:r>
        <w:rPr>
          <w:color w:val="6D6E71" w:themeColor="accent3"/>
          <w:sz w:val="18"/>
          <w:szCs w:val="16"/>
        </w:rPr>
        <w:t>[</w:t>
      </w:r>
      <w:r w:rsidR="0090110B" w:rsidRPr="007772F8">
        <w:rPr>
          <w:rStyle w:val="FootnoteReference"/>
          <w:color w:val="6D6E71" w:themeColor="accent3"/>
          <w:position w:val="0"/>
          <w:sz w:val="18"/>
          <w:szCs w:val="16"/>
        </w:rPr>
        <w:footnoteRef/>
      </w:r>
      <w:r>
        <w:rPr>
          <w:color w:val="6D6E71" w:themeColor="accent3"/>
          <w:sz w:val="18"/>
          <w:szCs w:val="16"/>
        </w:rPr>
        <w:t>]</w:t>
      </w:r>
      <w:r w:rsidR="003428AF">
        <w:rPr>
          <w:color w:val="6D6E71" w:themeColor="accent3"/>
          <w:sz w:val="18"/>
          <w:szCs w:val="16"/>
        </w:rPr>
        <w:t xml:space="preserve"> </w:t>
      </w:r>
      <w:r w:rsidR="0090110B" w:rsidRPr="00015203">
        <w:rPr>
          <w:color w:val="6D6E71" w:themeColor="accent3"/>
          <w:sz w:val="18"/>
          <w:szCs w:val="16"/>
        </w:rPr>
        <w:t>Cells highlighted in grey denote estimates impacted by suppression</w:t>
      </w:r>
      <w:r w:rsidR="00E555B9" w:rsidRPr="007772F8">
        <w:rPr>
          <w:color w:val="6D6E71" w:themeColor="accent3"/>
          <w:sz w:val="18"/>
          <w:szCs w:val="16"/>
        </w:rPr>
        <w:t xml:space="preserve"> </w:t>
      </w:r>
    </w:p>
  </w:footnote>
  <w:footnote w:id="5">
    <w:p w14:paraId="0BF8FA7A" w14:textId="6C1F3505" w:rsidR="007772F8" w:rsidRDefault="007772F8" w:rsidP="007772F8">
      <w:pPr>
        <w:spacing w:after="120" w:line="278" w:lineRule="auto"/>
        <w:jc w:val="both"/>
        <w:rPr>
          <w:color w:val="6D6E71" w:themeColor="accent3"/>
          <w:sz w:val="18"/>
          <w:szCs w:val="16"/>
        </w:rPr>
      </w:pPr>
      <w:r>
        <w:rPr>
          <w:color w:val="6D6E71" w:themeColor="accent3"/>
          <w:sz w:val="18"/>
          <w:szCs w:val="16"/>
        </w:rPr>
        <w:t>[</w:t>
      </w:r>
      <w:r w:rsidRPr="007772F8">
        <w:rPr>
          <w:rStyle w:val="FootnoteReference"/>
          <w:color w:val="6D6E71" w:themeColor="accent3"/>
          <w:position w:val="0"/>
          <w:sz w:val="18"/>
          <w:szCs w:val="16"/>
        </w:rPr>
        <w:footnoteRef/>
      </w:r>
      <w:r>
        <w:rPr>
          <w:color w:val="6D6E71" w:themeColor="accent3"/>
          <w:sz w:val="18"/>
          <w:szCs w:val="16"/>
        </w:rPr>
        <w:t>]</w:t>
      </w:r>
      <w:r w:rsidRPr="007772F8">
        <w:t xml:space="preserve"> </w:t>
      </w:r>
      <w:r>
        <w:rPr>
          <w:color w:val="6D6E71" w:themeColor="accent3"/>
          <w:sz w:val="18"/>
          <w:szCs w:val="16"/>
        </w:rPr>
        <w:t>Retrofit relation is determined according to the following:</w:t>
      </w:r>
    </w:p>
    <w:p w14:paraId="245A0542" w14:textId="77777777" w:rsidR="007772F8" w:rsidRDefault="007772F8" w:rsidP="007772F8">
      <w:pPr>
        <w:pStyle w:val="ListParagraph"/>
        <w:numPr>
          <w:ilvl w:val="0"/>
          <w:numId w:val="14"/>
        </w:numPr>
        <w:spacing w:after="120" w:line="278" w:lineRule="auto"/>
        <w:jc w:val="both"/>
        <w:rPr>
          <w:color w:val="6D6E71" w:themeColor="accent3"/>
          <w:sz w:val="18"/>
          <w:szCs w:val="16"/>
        </w:rPr>
      </w:pPr>
      <w:r>
        <w:rPr>
          <w:color w:val="6D6E71" w:themeColor="accent3"/>
          <w:sz w:val="18"/>
          <w:szCs w:val="16"/>
        </w:rPr>
        <w:t>Occupation: those in core occupations but employed in industries outside of home retrofit</w:t>
      </w:r>
    </w:p>
    <w:p w14:paraId="2292DA12" w14:textId="2FA692C9" w:rsidR="007772F8" w:rsidRPr="007772F8" w:rsidRDefault="007772F8" w:rsidP="007772F8">
      <w:pPr>
        <w:pStyle w:val="ListParagraph"/>
        <w:numPr>
          <w:ilvl w:val="0"/>
          <w:numId w:val="14"/>
        </w:numPr>
        <w:spacing w:after="120" w:line="278" w:lineRule="auto"/>
        <w:jc w:val="both"/>
        <w:rPr>
          <w:color w:val="6D6E71" w:themeColor="accent3"/>
          <w:sz w:val="18"/>
          <w:szCs w:val="16"/>
        </w:rPr>
      </w:pPr>
      <w:r w:rsidRPr="007772F8">
        <w:rPr>
          <w:color w:val="6D6E71" w:themeColor="accent3"/>
          <w:sz w:val="18"/>
          <w:szCs w:val="16"/>
        </w:rPr>
        <w:t>Skillset: those in entirely non-retrofit occupations whose existing technical skillsets make them realistically deployable into retrofit work</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06498" w14:textId="77777777" w:rsidR="00E764D6" w:rsidRDefault="00E764D6">
    <w:pPr>
      <w:pStyle w:val="Header"/>
    </w:pPr>
    <w:r>
      <w:rPr>
        <w:noProof/>
        <w:lang w:eastAsia="en-GB"/>
      </w:rPr>
      <w:drawing>
        <wp:anchor distT="0" distB="0" distL="114300" distR="114300" simplePos="0" relativeHeight="251658246" behindDoc="1" locked="0" layoutInCell="0" allowOverlap="1" wp14:anchorId="5CAE0FEC" wp14:editId="1CA5A747">
          <wp:simplePos x="0" y="0"/>
          <wp:positionH relativeFrom="margin">
            <wp:align>center</wp:align>
          </wp:positionH>
          <wp:positionV relativeFrom="margin">
            <wp:align>center</wp:align>
          </wp:positionV>
          <wp:extent cx="7575550" cy="10710545"/>
          <wp:effectExtent l="0" t="0" r="0" b="0"/>
          <wp:wrapNone/>
          <wp:docPr id="526863422" name="Picture 526863422" descr="final back cover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nal back cover wor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5550" cy="1071054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A25D5" w14:textId="7BE851AA" w:rsidR="00E764D6" w:rsidRDefault="00E764D6">
    <w:pPr>
      <w:pStyle w:val="Header"/>
      <w:jc w:val="right"/>
    </w:pPr>
  </w:p>
  <w:p w14:paraId="7E9A5443" w14:textId="77777777" w:rsidR="00E764D6" w:rsidRDefault="00E764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430BF" w14:textId="77777777" w:rsidR="00E764D6" w:rsidRDefault="00E764D6">
    <w:pPr>
      <w:pStyle w:val="Header"/>
    </w:pPr>
    <w:r>
      <w:rPr>
        <w:noProof/>
        <w:lang w:eastAsia="en-GB"/>
      </w:rPr>
      <w:drawing>
        <wp:anchor distT="0" distB="0" distL="114300" distR="114300" simplePos="0" relativeHeight="251658245" behindDoc="1" locked="0" layoutInCell="0" allowOverlap="1" wp14:anchorId="40FE8F97" wp14:editId="00D7678E">
          <wp:simplePos x="0" y="0"/>
          <wp:positionH relativeFrom="margin">
            <wp:align>center</wp:align>
          </wp:positionH>
          <wp:positionV relativeFrom="margin">
            <wp:align>center</wp:align>
          </wp:positionV>
          <wp:extent cx="7575550" cy="10710545"/>
          <wp:effectExtent l="0" t="0" r="0" b="0"/>
          <wp:wrapNone/>
          <wp:docPr id="1210148141" name="Picture 1210148141" descr="final back cover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nal back cover wor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5550" cy="1071054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4D7F7" w14:textId="77777777" w:rsidR="00E764D6" w:rsidRDefault="00E764D6">
    <w:pPr>
      <w:pStyle w:val="Header"/>
    </w:pPr>
    <w:r>
      <w:rPr>
        <w:noProof/>
        <w:lang w:eastAsia="en-GB"/>
      </w:rPr>
      <w:drawing>
        <wp:anchor distT="0" distB="0" distL="114300" distR="114300" simplePos="0" relativeHeight="251658248" behindDoc="1" locked="0" layoutInCell="0" allowOverlap="1" wp14:anchorId="62AC61F0" wp14:editId="0A362C9A">
          <wp:simplePos x="0" y="0"/>
          <wp:positionH relativeFrom="margin">
            <wp:align>center</wp:align>
          </wp:positionH>
          <wp:positionV relativeFrom="margin">
            <wp:align>center</wp:align>
          </wp:positionV>
          <wp:extent cx="5731510" cy="8103235"/>
          <wp:effectExtent l="0" t="0" r="2540" b="0"/>
          <wp:wrapNone/>
          <wp:docPr id="1609059448" name="Picture 1609059448" descr="final back cover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inal back cover wor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81032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C95278" w14:textId="58C7EEC1" w:rsidR="00E764D6" w:rsidRDefault="00E764D6">
    <w:pPr>
      <w:pStyle w:val="Header"/>
      <w:jc w:val="right"/>
    </w:pPr>
  </w:p>
  <w:p w14:paraId="7A6DB010" w14:textId="77777777" w:rsidR="00E764D6" w:rsidRDefault="00E764D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E1800" w14:textId="77777777" w:rsidR="00E764D6" w:rsidRDefault="00E764D6">
    <w:pPr>
      <w:pStyle w:val="Header"/>
    </w:pPr>
    <w:r>
      <w:rPr>
        <w:noProof/>
        <w:lang w:eastAsia="en-GB"/>
      </w:rPr>
      <w:drawing>
        <wp:anchor distT="0" distB="0" distL="114300" distR="114300" simplePos="0" relativeHeight="251658247" behindDoc="1" locked="0" layoutInCell="0" allowOverlap="1" wp14:anchorId="3195ED3D" wp14:editId="5FBB1593">
          <wp:simplePos x="0" y="0"/>
          <wp:positionH relativeFrom="margin">
            <wp:align>center</wp:align>
          </wp:positionH>
          <wp:positionV relativeFrom="margin">
            <wp:align>center</wp:align>
          </wp:positionV>
          <wp:extent cx="5731510" cy="8103235"/>
          <wp:effectExtent l="0" t="0" r="2540" b="0"/>
          <wp:wrapNone/>
          <wp:docPr id="816416436" name="Picture 816416436" descr="final back cover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inal back cover wor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81032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857E7" w14:textId="77777777" w:rsidR="002A137B" w:rsidRDefault="002A137B">
    <w:pPr>
      <w:pStyle w:val="Header"/>
    </w:pPr>
    <w:r>
      <w:rPr>
        <w:noProof/>
        <w:lang w:eastAsia="en-GB"/>
      </w:rPr>
      <w:drawing>
        <wp:anchor distT="0" distB="0" distL="114300" distR="114300" simplePos="0" relativeHeight="251658250" behindDoc="1" locked="0" layoutInCell="0" allowOverlap="1" wp14:anchorId="1586D07F" wp14:editId="6FF94F48">
          <wp:simplePos x="0" y="0"/>
          <wp:positionH relativeFrom="margin">
            <wp:align>center</wp:align>
          </wp:positionH>
          <wp:positionV relativeFrom="margin">
            <wp:align>center</wp:align>
          </wp:positionV>
          <wp:extent cx="5731510" cy="8103235"/>
          <wp:effectExtent l="0" t="0" r="2540" b="0"/>
          <wp:wrapNone/>
          <wp:docPr id="713538805" name="Picture 713538805" descr="final back cover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inal back cover wor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81032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3715F" w14:textId="77777777" w:rsidR="002A137B" w:rsidRDefault="002A137B">
    <w:pPr>
      <w:pStyle w:val="Header"/>
      <w:jc w:val="right"/>
    </w:pPr>
  </w:p>
  <w:p w14:paraId="640118DC" w14:textId="77777777" w:rsidR="002A137B" w:rsidRDefault="002A137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1B183" w14:textId="77777777" w:rsidR="002A137B" w:rsidRDefault="002A137B">
    <w:pPr>
      <w:pStyle w:val="Header"/>
    </w:pPr>
    <w:r>
      <w:rPr>
        <w:noProof/>
        <w:lang w:eastAsia="en-GB"/>
      </w:rPr>
      <w:drawing>
        <wp:anchor distT="0" distB="0" distL="114300" distR="114300" simplePos="0" relativeHeight="251658249" behindDoc="1" locked="0" layoutInCell="0" allowOverlap="1" wp14:anchorId="7400B34D" wp14:editId="59EB9346">
          <wp:simplePos x="0" y="0"/>
          <wp:positionH relativeFrom="margin">
            <wp:align>center</wp:align>
          </wp:positionH>
          <wp:positionV relativeFrom="margin">
            <wp:align>center</wp:align>
          </wp:positionV>
          <wp:extent cx="5731510" cy="8103235"/>
          <wp:effectExtent l="0" t="0" r="2540" b="0"/>
          <wp:wrapNone/>
          <wp:docPr id="320753728" name="Picture 320753728" descr="final back cover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inal back cover wor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81032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0A185" w14:textId="361A0480" w:rsidR="00E764D6" w:rsidRDefault="00B264D1">
    <w:pPr>
      <w:pStyle w:val="Header"/>
    </w:pPr>
    <w:r>
      <w:rPr>
        <w:noProof/>
      </w:rPr>
      <w:pict w14:anchorId="37A6B4F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44138" o:spid="_x0000_s1027" type="#_x0000_t75" alt="final back cover word" style="position:absolute;margin-left:0;margin-top:0;width:596.5pt;height:843.35pt;z-index:-251658228;mso-wrap-edited:f;mso-position-horizontal:center;mso-position-horizontal-relative:margin;mso-position-vertical:center;mso-position-vertical-relative:margin" o:allowincell="f">
          <v:imagedata r:id="rId1" o:title="final back cover word"/>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B7687" w14:textId="77777777" w:rsidR="00E764D6" w:rsidRDefault="00B264D1">
    <w:pPr>
      <w:pStyle w:val="Header"/>
    </w:pPr>
    <w:r>
      <w:rPr>
        <w:noProof/>
      </w:rPr>
      <w:pict w14:anchorId="1179C7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44139" o:spid="_x0000_s1026" type="#_x0000_t75" alt="final back cover word" style="position:absolute;margin-left:0;margin-top:0;width:596.5pt;height:843.35pt;z-index:-251658227;mso-wrap-edited:f;mso-position-horizontal:center;mso-position-horizontal-relative:margin;mso-position-vertical:center;mso-position-vertical-relative:margin" o:allowincell="f">
          <v:imagedata r:id="rId1" o:title="final back cover word"/>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49A2A" w14:textId="77777777" w:rsidR="00E764D6" w:rsidRDefault="00B264D1">
    <w:pPr>
      <w:pStyle w:val="Header"/>
    </w:pPr>
    <w:r>
      <w:rPr>
        <w:noProof/>
      </w:rPr>
      <w:pict w14:anchorId="47EA7D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44137" o:spid="_x0000_s1025" type="#_x0000_t75" alt="final back cover word" style="position:absolute;margin-left:0;margin-top:0;width:596.5pt;height:843.35pt;z-index:-251658229;mso-wrap-edited:f;mso-position-horizontal:center;mso-position-horizontal-relative:margin;mso-position-vertical:center;mso-position-vertical-relative:margin" o:allowincell="f">
          <v:imagedata r:id="rId1" o:title="final back cover wor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F19EF4C6"/>
    <w:lvl w:ilvl="0">
      <w:start w:val="1"/>
      <w:numFmt w:val="bullet"/>
      <w:pStyle w:val="ListBullet3"/>
      <w:lvlText w:val=""/>
      <w:lvlJc w:val="left"/>
      <w:pPr>
        <w:tabs>
          <w:tab w:val="num" w:pos="1697"/>
        </w:tabs>
        <w:ind w:left="1697" w:hanging="360"/>
      </w:pPr>
      <w:rPr>
        <w:rFonts w:ascii="Symbol" w:hAnsi="Symbol" w:hint="default"/>
      </w:rPr>
    </w:lvl>
  </w:abstractNum>
  <w:abstractNum w:abstractNumId="1" w15:restartNumberingAfterBreak="0">
    <w:nsid w:val="FFFFFF83"/>
    <w:multiLevelType w:val="singleLevel"/>
    <w:tmpl w:val="E9ECA6BE"/>
    <w:lvl w:ilvl="0">
      <w:start w:val="1"/>
      <w:numFmt w:val="bullet"/>
      <w:pStyle w:val="ListBullet2"/>
      <w:lvlText w:val="–"/>
      <w:lvlJc w:val="left"/>
      <w:pPr>
        <w:ind w:left="587" w:hanging="360"/>
      </w:pPr>
      <w:rPr>
        <w:rFonts w:ascii="Gotham Light" w:hAnsi="Gotham Light" w:cs="Symbol" w:hint="default"/>
        <w:color w:val="404040" w:themeColor="text1" w:themeTint="BF"/>
      </w:rPr>
    </w:lvl>
  </w:abstractNum>
  <w:abstractNum w:abstractNumId="2" w15:restartNumberingAfterBreak="0">
    <w:nsid w:val="FFFFFF88"/>
    <w:multiLevelType w:val="singleLevel"/>
    <w:tmpl w:val="0812F64C"/>
    <w:lvl w:ilvl="0">
      <w:start w:val="1"/>
      <w:numFmt w:val="decimal"/>
      <w:pStyle w:val="ListNumber"/>
      <w:lvlText w:val="%1"/>
      <w:lvlJc w:val="left"/>
      <w:pPr>
        <w:ind w:left="360" w:hanging="360"/>
      </w:pPr>
      <w:rPr>
        <w:rFonts w:hint="default"/>
        <w:b/>
        <w:i w:val="0"/>
        <w:color w:val="008C9B" w:themeColor="text2"/>
      </w:rPr>
    </w:lvl>
  </w:abstractNum>
  <w:abstractNum w:abstractNumId="3" w15:restartNumberingAfterBreak="0">
    <w:nsid w:val="00FC781C"/>
    <w:multiLevelType w:val="multilevel"/>
    <w:tmpl w:val="1E8AE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6B1123"/>
    <w:multiLevelType w:val="hybridMultilevel"/>
    <w:tmpl w:val="3FF4F638"/>
    <w:lvl w:ilvl="0" w:tplc="743A6AE2">
      <w:start w:val="1"/>
      <w:numFmt w:val="lowerLetter"/>
      <w:lvlText w:val="%1)"/>
      <w:lvlJc w:val="left"/>
      <w:pPr>
        <w:ind w:left="1020" w:hanging="360"/>
      </w:pPr>
    </w:lvl>
    <w:lvl w:ilvl="1" w:tplc="D7A0CF5C">
      <w:start w:val="1"/>
      <w:numFmt w:val="lowerLetter"/>
      <w:lvlText w:val="%2)"/>
      <w:lvlJc w:val="left"/>
      <w:pPr>
        <w:ind w:left="1020" w:hanging="360"/>
      </w:pPr>
    </w:lvl>
    <w:lvl w:ilvl="2" w:tplc="A7F25BB4">
      <w:start w:val="1"/>
      <w:numFmt w:val="lowerLetter"/>
      <w:lvlText w:val="%3)"/>
      <w:lvlJc w:val="left"/>
      <w:pPr>
        <w:ind w:left="1020" w:hanging="360"/>
      </w:pPr>
    </w:lvl>
    <w:lvl w:ilvl="3" w:tplc="721E7418">
      <w:start w:val="1"/>
      <w:numFmt w:val="lowerLetter"/>
      <w:lvlText w:val="%4)"/>
      <w:lvlJc w:val="left"/>
      <w:pPr>
        <w:ind w:left="1020" w:hanging="360"/>
      </w:pPr>
    </w:lvl>
    <w:lvl w:ilvl="4" w:tplc="45065B20">
      <w:start w:val="1"/>
      <w:numFmt w:val="lowerLetter"/>
      <w:lvlText w:val="%5)"/>
      <w:lvlJc w:val="left"/>
      <w:pPr>
        <w:ind w:left="1020" w:hanging="360"/>
      </w:pPr>
    </w:lvl>
    <w:lvl w:ilvl="5" w:tplc="69A08310">
      <w:start w:val="1"/>
      <w:numFmt w:val="lowerLetter"/>
      <w:lvlText w:val="%6)"/>
      <w:lvlJc w:val="left"/>
      <w:pPr>
        <w:ind w:left="1020" w:hanging="360"/>
      </w:pPr>
    </w:lvl>
    <w:lvl w:ilvl="6" w:tplc="6AFE06A6">
      <w:start w:val="1"/>
      <w:numFmt w:val="lowerLetter"/>
      <w:lvlText w:val="%7)"/>
      <w:lvlJc w:val="left"/>
      <w:pPr>
        <w:ind w:left="1020" w:hanging="360"/>
      </w:pPr>
    </w:lvl>
    <w:lvl w:ilvl="7" w:tplc="927867A8">
      <w:start w:val="1"/>
      <w:numFmt w:val="lowerLetter"/>
      <w:lvlText w:val="%8)"/>
      <w:lvlJc w:val="left"/>
      <w:pPr>
        <w:ind w:left="1020" w:hanging="360"/>
      </w:pPr>
    </w:lvl>
    <w:lvl w:ilvl="8" w:tplc="2C646A64">
      <w:start w:val="1"/>
      <w:numFmt w:val="lowerLetter"/>
      <w:lvlText w:val="%9)"/>
      <w:lvlJc w:val="left"/>
      <w:pPr>
        <w:ind w:left="1020" w:hanging="360"/>
      </w:pPr>
    </w:lvl>
  </w:abstractNum>
  <w:abstractNum w:abstractNumId="5" w15:restartNumberingAfterBreak="0">
    <w:nsid w:val="02DA063A"/>
    <w:multiLevelType w:val="hybridMultilevel"/>
    <w:tmpl w:val="4094E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4666685"/>
    <w:multiLevelType w:val="hybridMultilevel"/>
    <w:tmpl w:val="75745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6C02631"/>
    <w:multiLevelType w:val="hybridMultilevel"/>
    <w:tmpl w:val="8A708F88"/>
    <w:lvl w:ilvl="0" w:tplc="FB6053EE">
      <w:start w:val="1"/>
      <w:numFmt w:val="bullet"/>
      <w:lvlText w:val=""/>
      <w:lvlJc w:val="left"/>
      <w:pPr>
        <w:ind w:left="774" w:hanging="360"/>
      </w:pPr>
      <w:rPr>
        <w:rFonts w:ascii="Symbol" w:hAnsi="Symbol" w:hint="default"/>
        <w:color w:val="008C9B" w:themeColor="text2"/>
      </w:rPr>
    </w:lvl>
    <w:lvl w:ilvl="1" w:tplc="FFFFFFFF" w:tentative="1">
      <w:start w:val="1"/>
      <w:numFmt w:val="bullet"/>
      <w:lvlText w:val="o"/>
      <w:lvlJc w:val="left"/>
      <w:pPr>
        <w:ind w:left="1494" w:hanging="360"/>
      </w:pPr>
      <w:rPr>
        <w:rFonts w:ascii="Courier New" w:hAnsi="Courier New" w:cs="Courier New" w:hint="default"/>
      </w:rPr>
    </w:lvl>
    <w:lvl w:ilvl="2" w:tplc="FFFFFFFF" w:tentative="1">
      <w:start w:val="1"/>
      <w:numFmt w:val="bullet"/>
      <w:lvlText w:val=""/>
      <w:lvlJc w:val="left"/>
      <w:pPr>
        <w:ind w:left="2214" w:hanging="360"/>
      </w:pPr>
      <w:rPr>
        <w:rFonts w:ascii="Wingdings" w:hAnsi="Wingdings" w:hint="default"/>
      </w:rPr>
    </w:lvl>
    <w:lvl w:ilvl="3" w:tplc="FFFFFFFF" w:tentative="1">
      <w:start w:val="1"/>
      <w:numFmt w:val="bullet"/>
      <w:lvlText w:val=""/>
      <w:lvlJc w:val="left"/>
      <w:pPr>
        <w:ind w:left="2934" w:hanging="360"/>
      </w:pPr>
      <w:rPr>
        <w:rFonts w:ascii="Symbol" w:hAnsi="Symbol" w:hint="default"/>
      </w:rPr>
    </w:lvl>
    <w:lvl w:ilvl="4" w:tplc="FFFFFFFF" w:tentative="1">
      <w:start w:val="1"/>
      <w:numFmt w:val="bullet"/>
      <w:lvlText w:val="o"/>
      <w:lvlJc w:val="left"/>
      <w:pPr>
        <w:ind w:left="3654" w:hanging="360"/>
      </w:pPr>
      <w:rPr>
        <w:rFonts w:ascii="Courier New" w:hAnsi="Courier New" w:cs="Courier New" w:hint="default"/>
      </w:rPr>
    </w:lvl>
    <w:lvl w:ilvl="5" w:tplc="FFFFFFFF" w:tentative="1">
      <w:start w:val="1"/>
      <w:numFmt w:val="bullet"/>
      <w:lvlText w:val=""/>
      <w:lvlJc w:val="left"/>
      <w:pPr>
        <w:ind w:left="4374" w:hanging="360"/>
      </w:pPr>
      <w:rPr>
        <w:rFonts w:ascii="Wingdings" w:hAnsi="Wingdings" w:hint="default"/>
      </w:rPr>
    </w:lvl>
    <w:lvl w:ilvl="6" w:tplc="FFFFFFFF" w:tentative="1">
      <w:start w:val="1"/>
      <w:numFmt w:val="bullet"/>
      <w:lvlText w:val=""/>
      <w:lvlJc w:val="left"/>
      <w:pPr>
        <w:ind w:left="5094" w:hanging="360"/>
      </w:pPr>
      <w:rPr>
        <w:rFonts w:ascii="Symbol" w:hAnsi="Symbol" w:hint="default"/>
      </w:rPr>
    </w:lvl>
    <w:lvl w:ilvl="7" w:tplc="FFFFFFFF" w:tentative="1">
      <w:start w:val="1"/>
      <w:numFmt w:val="bullet"/>
      <w:lvlText w:val="o"/>
      <w:lvlJc w:val="left"/>
      <w:pPr>
        <w:ind w:left="5814" w:hanging="360"/>
      </w:pPr>
      <w:rPr>
        <w:rFonts w:ascii="Courier New" w:hAnsi="Courier New" w:cs="Courier New" w:hint="default"/>
      </w:rPr>
    </w:lvl>
    <w:lvl w:ilvl="8" w:tplc="FFFFFFFF" w:tentative="1">
      <w:start w:val="1"/>
      <w:numFmt w:val="bullet"/>
      <w:lvlText w:val=""/>
      <w:lvlJc w:val="left"/>
      <w:pPr>
        <w:ind w:left="6534" w:hanging="360"/>
      </w:pPr>
      <w:rPr>
        <w:rFonts w:ascii="Wingdings" w:hAnsi="Wingdings" w:hint="default"/>
      </w:rPr>
    </w:lvl>
  </w:abstractNum>
  <w:abstractNum w:abstractNumId="8" w15:restartNumberingAfterBreak="0">
    <w:nsid w:val="06E951C7"/>
    <w:multiLevelType w:val="hybridMultilevel"/>
    <w:tmpl w:val="BE7AD3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74D38FB"/>
    <w:multiLevelType w:val="hybridMultilevel"/>
    <w:tmpl w:val="76BC8184"/>
    <w:lvl w:ilvl="0" w:tplc="3DEA876A">
      <w:start w:val="1"/>
      <w:numFmt w:val="lowerLetter"/>
      <w:pStyle w:val="ListNumber2"/>
      <w:lvlText w:val="%1"/>
      <w:lvlJc w:val="left"/>
      <w:pPr>
        <w:ind w:left="947" w:hanging="360"/>
      </w:pPr>
      <w:rPr>
        <w:rFonts w:hint="default"/>
        <w:bCs/>
        <w:iCs w:val="0"/>
        <w:color w:val="008C9B" w:themeColor="accent1"/>
      </w:rPr>
    </w:lvl>
    <w:lvl w:ilvl="1" w:tplc="08090019" w:tentative="1">
      <w:start w:val="1"/>
      <w:numFmt w:val="lowerLetter"/>
      <w:lvlText w:val="%2."/>
      <w:lvlJc w:val="left"/>
      <w:pPr>
        <w:ind w:left="1667" w:hanging="360"/>
      </w:pPr>
    </w:lvl>
    <w:lvl w:ilvl="2" w:tplc="0809001B" w:tentative="1">
      <w:start w:val="1"/>
      <w:numFmt w:val="lowerRoman"/>
      <w:lvlText w:val="%3."/>
      <w:lvlJc w:val="right"/>
      <w:pPr>
        <w:ind w:left="2387" w:hanging="180"/>
      </w:pPr>
    </w:lvl>
    <w:lvl w:ilvl="3" w:tplc="0809000F" w:tentative="1">
      <w:start w:val="1"/>
      <w:numFmt w:val="decimal"/>
      <w:lvlText w:val="%4."/>
      <w:lvlJc w:val="left"/>
      <w:pPr>
        <w:ind w:left="3107" w:hanging="360"/>
      </w:pPr>
    </w:lvl>
    <w:lvl w:ilvl="4" w:tplc="08090019" w:tentative="1">
      <w:start w:val="1"/>
      <w:numFmt w:val="lowerLetter"/>
      <w:lvlText w:val="%5."/>
      <w:lvlJc w:val="left"/>
      <w:pPr>
        <w:ind w:left="3827" w:hanging="360"/>
      </w:pPr>
    </w:lvl>
    <w:lvl w:ilvl="5" w:tplc="0809001B" w:tentative="1">
      <w:start w:val="1"/>
      <w:numFmt w:val="lowerRoman"/>
      <w:lvlText w:val="%6."/>
      <w:lvlJc w:val="right"/>
      <w:pPr>
        <w:ind w:left="4547" w:hanging="180"/>
      </w:pPr>
    </w:lvl>
    <w:lvl w:ilvl="6" w:tplc="0809000F" w:tentative="1">
      <w:start w:val="1"/>
      <w:numFmt w:val="decimal"/>
      <w:lvlText w:val="%7."/>
      <w:lvlJc w:val="left"/>
      <w:pPr>
        <w:ind w:left="5267" w:hanging="360"/>
      </w:pPr>
    </w:lvl>
    <w:lvl w:ilvl="7" w:tplc="08090019" w:tentative="1">
      <w:start w:val="1"/>
      <w:numFmt w:val="lowerLetter"/>
      <w:lvlText w:val="%8."/>
      <w:lvlJc w:val="left"/>
      <w:pPr>
        <w:ind w:left="5987" w:hanging="360"/>
      </w:pPr>
    </w:lvl>
    <w:lvl w:ilvl="8" w:tplc="0809001B" w:tentative="1">
      <w:start w:val="1"/>
      <w:numFmt w:val="lowerRoman"/>
      <w:lvlText w:val="%9."/>
      <w:lvlJc w:val="right"/>
      <w:pPr>
        <w:ind w:left="6707" w:hanging="180"/>
      </w:pPr>
    </w:lvl>
  </w:abstractNum>
  <w:abstractNum w:abstractNumId="10" w15:restartNumberingAfterBreak="0">
    <w:nsid w:val="079E57E5"/>
    <w:multiLevelType w:val="hybridMultilevel"/>
    <w:tmpl w:val="872060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B852693"/>
    <w:multiLevelType w:val="multilevel"/>
    <w:tmpl w:val="0AAEE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BBF4271"/>
    <w:multiLevelType w:val="hybridMultilevel"/>
    <w:tmpl w:val="A2121A9C"/>
    <w:lvl w:ilvl="0" w:tplc="FB6053EE">
      <w:start w:val="1"/>
      <w:numFmt w:val="bullet"/>
      <w:lvlText w:val=""/>
      <w:lvlJc w:val="left"/>
      <w:pPr>
        <w:ind w:left="720" w:hanging="360"/>
      </w:pPr>
      <w:rPr>
        <w:rFonts w:ascii="Symbol" w:hAnsi="Symbol" w:hint="default"/>
        <w:color w:val="008C9B" w:themeColor="tex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D7314EE"/>
    <w:multiLevelType w:val="hybridMultilevel"/>
    <w:tmpl w:val="67942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47325D3"/>
    <w:multiLevelType w:val="hybridMultilevel"/>
    <w:tmpl w:val="B5286886"/>
    <w:lvl w:ilvl="0" w:tplc="FB6053EE">
      <w:start w:val="1"/>
      <w:numFmt w:val="bullet"/>
      <w:lvlText w:val=""/>
      <w:lvlJc w:val="left"/>
      <w:pPr>
        <w:ind w:left="720" w:hanging="360"/>
      </w:pPr>
      <w:rPr>
        <w:rFonts w:ascii="Symbol" w:hAnsi="Symbol" w:hint="default"/>
        <w:color w:val="008C9B" w:themeColor="tex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1D173916"/>
    <w:multiLevelType w:val="hybridMultilevel"/>
    <w:tmpl w:val="284C66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0133451"/>
    <w:multiLevelType w:val="hybridMultilevel"/>
    <w:tmpl w:val="9D8ED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0B6691"/>
    <w:multiLevelType w:val="hybridMultilevel"/>
    <w:tmpl w:val="4F8AC9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9322109"/>
    <w:multiLevelType w:val="hybridMultilevel"/>
    <w:tmpl w:val="32CACEB8"/>
    <w:lvl w:ilvl="0" w:tplc="17B82B0E">
      <w:start w:val="1"/>
      <w:numFmt w:val="lowerLetter"/>
      <w:lvlText w:val="%1)"/>
      <w:lvlJc w:val="left"/>
      <w:pPr>
        <w:ind w:left="1020" w:hanging="360"/>
      </w:pPr>
    </w:lvl>
    <w:lvl w:ilvl="1" w:tplc="347AB8CA">
      <w:start w:val="1"/>
      <w:numFmt w:val="lowerLetter"/>
      <w:lvlText w:val="%2)"/>
      <w:lvlJc w:val="left"/>
      <w:pPr>
        <w:ind w:left="1020" w:hanging="360"/>
      </w:pPr>
    </w:lvl>
    <w:lvl w:ilvl="2" w:tplc="B4884C2C">
      <w:start w:val="1"/>
      <w:numFmt w:val="lowerLetter"/>
      <w:lvlText w:val="%3)"/>
      <w:lvlJc w:val="left"/>
      <w:pPr>
        <w:ind w:left="1020" w:hanging="360"/>
      </w:pPr>
    </w:lvl>
    <w:lvl w:ilvl="3" w:tplc="98D6C59C">
      <w:start w:val="1"/>
      <w:numFmt w:val="lowerLetter"/>
      <w:lvlText w:val="%4)"/>
      <w:lvlJc w:val="left"/>
      <w:pPr>
        <w:ind w:left="1020" w:hanging="360"/>
      </w:pPr>
    </w:lvl>
    <w:lvl w:ilvl="4" w:tplc="9FA27BAA">
      <w:start w:val="1"/>
      <w:numFmt w:val="lowerLetter"/>
      <w:lvlText w:val="%5)"/>
      <w:lvlJc w:val="left"/>
      <w:pPr>
        <w:ind w:left="1020" w:hanging="360"/>
      </w:pPr>
    </w:lvl>
    <w:lvl w:ilvl="5" w:tplc="92987402">
      <w:start w:val="1"/>
      <w:numFmt w:val="lowerLetter"/>
      <w:lvlText w:val="%6)"/>
      <w:lvlJc w:val="left"/>
      <w:pPr>
        <w:ind w:left="1020" w:hanging="360"/>
      </w:pPr>
    </w:lvl>
    <w:lvl w:ilvl="6" w:tplc="F3AEF6E2">
      <w:start w:val="1"/>
      <w:numFmt w:val="lowerLetter"/>
      <w:lvlText w:val="%7)"/>
      <w:lvlJc w:val="left"/>
      <w:pPr>
        <w:ind w:left="1020" w:hanging="360"/>
      </w:pPr>
    </w:lvl>
    <w:lvl w:ilvl="7" w:tplc="FD66BF8E">
      <w:start w:val="1"/>
      <w:numFmt w:val="lowerLetter"/>
      <w:lvlText w:val="%8)"/>
      <w:lvlJc w:val="left"/>
      <w:pPr>
        <w:ind w:left="1020" w:hanging="360"/>
      </w:pPr>
    </w:lvl>
    <w:lvl w:ilvl="8" w:tplc="475E57F8">
      <w:start w:val="1"/>
      <w:numFmt w:val="lowerLetter"/>
      <w:lvlText w:val="%9)"/>
      <w:lvlJc w:val="left"/>
      <w:pPr>
        <w:ind w:left="1020" w:hanging="360"/>
      </w:pPr>
    </w:lvl>
  </w:abstractNum>
  <w:abstractNum w:abstractNumId="19" w15:restartNumberingAfterBreak="0">
    <w:nsid w:val="30A31A7C"/>
    <w:multiLevelType w:val="hybridMultilevel"/>
    <w:tmpl w:val="89E23E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1A83DEF"/>
    <w:multiLevelType w:val="hybridMultilevel"/>
    <w:tmpl w:val="7E98E94E"/>
    <w:lvl w:ilvl="0" w:tplc="F104D294">
      <w:start w:val="1"/>
      <w:numFmt w:val="decimal"/>
      <w:lvlText w:val="%1."/>
      <w:lvlJc w:val="left"/>
      <w:pPr>
        <w:ind w:left="1020" w:hanging="360"/>
      </w:pPr>
    </w:lvl>
    <w:lvl w:ilvl="1" w:tplc="0956806C">
      <w:start w:val="1"/>
      <w:numFmt w:val="decimal"/>
      <w:lvlText w:val="%2."/>
      <w:lvlJc w:val="left"/>
      <w:pPr>
        <w:ind w:left="1020" w:hanging="360"/>
      </w:pPr>
    </w:lvl>
    <w:lvl w:ilvl="2" w:tplc="29D8BF00">
      <w:start w:val="1"/>
      <w:numFmt w:val="decimal"/>
      <w:lvlText w:val="%3."/>
      <w:lvlJc w:val="left"/>
      <w:pPr>
        <w:ind w:left="1020" w:hanging="360"/>
      </w:pPr>
    </w:lvl>
    <w:lvl w:ilvl="3" w:tplc="0FDCBF64">
      <w:start w:val="1"/>
      <w:numFmt w:val="decimal"/>
      <w:lvlText w:val="%4."/>
      <w:lvlJc w:val="left"/>
      <w:pPr>
        <w:ind w:left="1020" w:hanging="360"/>
      </w:pPr>
    </w:lvl>
    <w:lvl w:ilvl="4" w:tplc="0E40E930">
      <w:start w:val="1"/>
      <w:numFmt w:val="decimal"/>
      <w:lvlText w:val="%5."/>
      <w:lvlJc w:val="left"/>
      <w:pPr>
        <w:ind w:left="1020" w:hanging="360"/>
      </w:pPr>
    </w:lvl>
    <w:lvl w:ilvl="5" w:tplc="69AA2748">
      <w:start w:val="1"/>
      <w:numFmt w:val="decimal"/>
      <w:lvlText w:val="%6."/>
      <w:lvlJc w:val="left"/>
      <w:pPr>
        <w:ind w:left="1020" w:hanging="360"/>
      </w:pPr>
    </w:lvl>
    <w:lvl w:ilvl="6" w:tplc="6FE665C6">
      <w:start w:val="1"/>
      <w:numFmt w:val="decimal"/>
      <w:lvlText w:val="%7."/>
      <w:lvlJc w:val="left"/>
      <w:pPr>
        <w:ind w:left="1020" w:hanging="360"/>
      </w:pPr>
    </w:lvl>
    <w:lvl w:ilvl="7" w:tplc="D5A26896">
      <w:start w:val="1"/>
      <w:numFmt w:val="decimal"/>
      <w:lvlText w:val="%8."/>
      <w:lvlJc w:val="left"/>
      <w:pPr>
        <w:ind w:left="1020" w:hanging="360"/>
      </w:pPr>
    </w:lvl>
    <w:lvl w:ilvl="8" w:tplc="D92E6EA8">
      <w:start w:val="1"/>
      <w:numFmt w:val="decimal"/>
      <w:lvlText w:val="%9."/>
      <w:lvlJc w:val="left"/>
      <w:pPr>
        <w:ind w:left="1020" w:hanging="360"/>
      </w:pPr>
    </w:lvl>
  </w:abstractNum>
  <w:abstractNum w:abstractNumId="21" w15:restartNumberingAfterBreak="0">
    <w:nsid w:val="31E275FD"/>
    <w:multiLevelType w:val="hybridMultilevel"/>
    <w:tmpl w:val="19B6CCC2"/>
    <w:lvl w:ilvl="0" w:tplc="FFFFFFFF">
      <w:start w:val="1"/>
      <w:numFmt w:val="decimal"/>
      <w:lvlText w:val="%1."/>
      <w:lvlJc w:val="left"/>
      <w:pPr>
        <w:ind w:left="720" w:hanging="360"/>
      </w:pPr>
    </w:lvl>
    <w:lvl w:ilvl="1" w:tplc="08090001">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968002E"/>
    <w:multiLevelType w:val="hybridMultilevel"/>
    <w:tmpl w:val="C41C09D8"/>
    <w:lvl w:ilvl="0" w:tplc="FFFFFFFF">
      <w:start w:val="1"/>
      <w:numFmt w:val="decimal"/>
      <w:lvlText w:val="%1."/>
      <w:lvlJc w:val="left"/>
      <w:pPr>
        <w:ind w:left="720" w:hanging="360"/>
      </w:pPr>
    </w:lvl>
    <w:lvl w:ilvl="1" w:tplc="08090001">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B1B29ED"/>
    <w:multiLevelType w:val="hybridMultilevel"/>
    <w:tmpl w:val="7DAEF1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C803743"/>
    <w:multiLevelType w:val="hybridMultilevel"/>
    <w:tmpl w:val="902C7D00"/>
    <w:lvl w:ilvl="0" w:tplc="01EE78D4">
      <w:start w:val="1"/>
      <w:numFmt w:val="lowerLetter"/>
      <w:lvlText w:val="%1)"/>
      <w:lvlJc w:val="left"/>
      <w:pPr>
        <w:ind w:left="1020" w:hanging="360"/>
      </w:pPr>
    </w:lvl>
    <w:lvl w:ilvl="1" w:tplc="BE5EC482">
      <w:start w:val="1"/>
      <w:numFmt w:val="lowerLetter"/>
      <w:lvlText w:val="%2)"/>
      <w:lvlJc w:val="left"/>
      <w:pPr>
        <w:ind w:left="1020" w:hanging="360"/>
      </w:pPr>
    </w:lvl>
    <w:lvl w:ilvl="2" w:tplc="26B663F4">
      <w:start w:val="1"/>
      <w:numFmt w:val="lowerLetter"/>
      <w:lvlText w:val="%3)"/>
      <w:lvlJc w:val="left"/>
      <w:pPr>
        <w:ind w:left="1020" w:hanging="360"/>
      </w:pPr>
    </w:lvl>
    <w:lvl w:ilvl="3" w:tplc="1832A7AC">
      <w:start w:val="1"/>
      <w:numFmt w:val="lowerLetter"/>
      <w:lvlText w:val="%4)"/>
      <w:lvlJc w:val="left"/>
      <w:pPr>
        <w:ind w:left="1020" w:hanging="360"/>
      </w:pPr>
    </w:lvl>
    <w:lvl w:ilvl="4" w:tplc="1706C4F4">
      <w:start w:val="1"/>
      <w:numFmt w:val="lowerLetter"/>
      <w:lvlText w:val="%5)"/>
      <w:lvlJc w:val="left"/>
      <w:pPr>
        <w:ind w:left="1020" w:hanging="360"/>
      </w:pPr>
    </w:lvl>
    <w:lvl w:ilvl="5" w:tplc="8266F9A6">
      <w:start w:val="1"/>
      <w:numFmt w:val="lowerLetter"/>
      <w:lvlText w:val="%6)"/>
      <w:lvlJc w:val="left"/>
      <w:pPr>
        <w:ind w:left="1020" w:hanging="360"/>
      </w:pPr>
    </w:lvl>
    <w:lvl w:ilvl="6" w:tplc="E9B68308">
      <w:start w:val="1"/>
      <w:numFmt w:val="lowerLetter"/>
      <w:lvlText w:val="%7)"/>
      <w:lvlJc w:val="left"/>
      <w:pPr>
        <w:ind w:left="1020" w:hanging="360"/>
      </w:pPr>
    </w:lvl>
    <w:lvl w:ilvl="7" w:tplc="46D6070A">
      <w:start w:val="1"/>
      <w:numFmt w:val="lowerLetter"/>
      <w:lvlText w:val="%8)"/>
      <w:lvlJc w:val="left"/>
      <w:pPr>
        <w:ind w:left="1020" w:hanging="360"/>
      </w:pPr>
    </w:lvl>
    <w:lvl w:ilvl="8" w:tplc="86C014C0">
      <w:start w:val="1"/>
      <w:numFmt w:val="lowerLetter"/>
      <w:lvlText w:val="%9)"/>
      <w:lvlJc w:val="left"/>
      <w:pPr>
        <w:ind w:left="1020" w:hanging="360"/>
      </w:pPr>
    </w:lvl>
  </w:abstractNum>
  <w:abstractNum w:abstractNumId="25" w15:restartNumberingAfterBreak="0">
    <w:nsid w:val="40BD47BE"/>
    <w:multiLevelType w:val="hybridMultilevel"/>
    <w:tmpl w:val="EF96F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8E416C4"/>
    <w:multiLevelType w:val="hybridMultilevel"/>
    <w:tmpl w:val="2A429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BD61448"/>
    <w:multiLevelType w:val="hybridMultilevel"/>
    <w:tmpl w:val="CD40A6C8"/>
    <w:lvl w:ilvl="0" w:tplc="FB6053EE">
      <w:start w:val="1"/>
      <w:numFmt w:val="bullet"/>
      <w:lvlText w:val=""/>
      <w:lvlJc w:val="left"/>
      <w:pPr>
        <w:ind w:left="720" w:hanging="360"/>
      </w:pPr>
      <w:rPr>
        <w:rFonts w:ascii="Symbol" w:hAnsi="Symbol" w:hint="default"/>
        <w:color w:val="008C9B" w:themeColor="tex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29E3046"/>
    <w:multiLevelType w:val="hybridMultilevel"/>
    <w:tmpl w:val="655E5C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76E6442"/>
    <w:multiLevelType w:val="multilevel"/>
    <w:tmpl w:val="B596C11A"/>
    <w:styleLink w:val="Cebrlist"/>
    <w:lvl w:ilvl="0">
      <w:start w:val="1"/>
      <w:numFmt w:val="decimal"/>
      <w:lvlText w:val="%1"/>
      <w:lvlJc w:val="left"/>
      <w:pPr>
        <w:ind w:left="0" w:firstLine="0"/>
      </w:pPr>
      <w:rPr>
        <w:rFonts w:hint="default"/>
      </w:rPr>
    </w:lvl>
    <w:lvl w:ilvl="1">
      <w:start w:val="1"/>
      <w:numFmt w:val="decimal"/>
      <w:lvlText w:val="%1.%2"/>
      <w:lvlJc w:val="left"/>
      <w:pPr>
        <w:ind w:left="7513"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15:restartNumberingAfterBreak="0">
    <w:nsid w:val="5EC168D8"/>
    <w:multiLevelType w:val="hybridMultilevel"/>
    <w:tmpl w:val="F23A2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FB56AB5"/>
    <w:multiLevelType w:val="hybridMultilevel"/>
    <w:tmpl w:val="0D1C3C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64359F9"/>
    <w:multiLevelType w:val="hybridMultilevel"/>
    <w:tmpl w:val="07243734"/>
    <w:lvl w:ilvl="0" w:tplc="0809000F">
      <w:start w:val="1"/>
      <w:numFmt w:val="decimal"/>
      <w:lvlText w:val="%1."/>
      <w:lvlJc w:val="left"/>
      <w:pPr>
        <w:ind w:left="720" w:hanging="360"/>
      </w:pPr>
    </w:lvl>
    <w:lvl w:ilvl="1" w:tplc="08090001">
      <w:start w:val="1"/>
      <w:numFmt w:val="bullet"/>
      <w:lvlText w:val=""/>
      <w:lvlJc w:val="left"/>
      <w:pPr>
        <w:ind w:left="72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7602D19"/>
    <w:multiLevelType w:val="hybridMultilevel"/>
    <w:tmpl w:val="9B4400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97A3F2B"/>
    <w:multiLevelType w:val="hybridMultilevel"/>
    <w:tmpl w:val="34FE41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DF10E90"/>
    <w:multiLevelType w:val="hybridMultilevel"/>
    <w:tmpl w:val="680638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48B477F"/>
    <w:multiLevelType w:val="hybridMultilevel"/>
    <w:tmpl w:val="4A4482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5AE584C"/>
    <w:multiLevelType w:val="hybridMultilevel"/>
    <w:tmpl w:val="6A3E43A2"/>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38" w15:restartNumberingAfterBreak="0">
    <w:nsid w:val="78006F7F"/>
    <w:multiLevelType w:val="hybridMultilevel"/>
    <w:tmpl w:val="687604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692D6B"/>
    <w:multiLevelType w:val="multilevel"/>
    <w:tmpl w:val="F0A47E6E"/>
    <w:lvl w:ilvl="0">
      <w:start w:val="1"/>
      <w:numFmt w:val="decimal"/>
      <w:lvlText w:val="%1."/>
      <w:lvlJc w:val="right"/>
      <w:pPr>
        <w:tabs>
          <w:tab w:val="num" w:pos="357"/>
        </w:tabs>
        <w:ind w:left="357" w:hanging="69"/>
      </w:pPr>
      <w:rPr>
        <w:rFonts w:hint="default"/>
        <w:b w:val="0"/>
        <w:bCs w:val="0"/>
      </w:r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7B60711E"/>
    <w:multiLevelType w:val="hybridMultilevel"/>
    <w:tmpl w:val="993E69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F466D9C"/>
    <w:multiLevelType w:val="hybridMultilevel"/>
    <w:tmpl w:val="83DC08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9955081">
    <w:abstractNumId w:val="2"/>
  </w:num>
  <w:num w:numId="2" w16cid:durableId="718044213">
    <w:abstractNumId w:val="1"/>
  </w:num>
  <w:num w:numId="3" w16cid:durableId="648216801">
    <w:abstractNumId w:val="29"/>
  </w:num>
  <w:num w:numId="4" w16cid:durableId="1953585367">
    <w:abstractNumId w:val="39"/>
    <w:lvlOverride w:ilvl="0">
      <w:lvl w:ilvl="0">
        <w:start w:val="1"/>
        <w:numFmt w:val="decimal"/>
        <w:lvlText w:val="%1."/>
        <w:lvlJc w:val="right"/>
        <w:pPr>
          <w:tabs>
            <w:tab w:val="num" w:pos="357"/>
          </w:tabs>
          <w:ind w:left="357" w:hanging="69"/>
        </w:pPr>
        <w:rPr>
          <w:rFonts w:hint="default"/>
          <w:b w:val="0"/>
          <w:bCs w:val="0"/>
        </w:rPr>
      </w:lvl>
    </w:lvlOverride>
    <w:lvlOverride w:ilvl="1">
      <w:lvl w:ilvl="1">
        <w:start w:val="1"/>
        <w:numFmt w:val="decimal"/>
        <w:pStyle w:val="Heading2"/>
        <w:lvlText w:val="%1.%2"/>
        <w:lvlJc w:val="left"/>
        <w:pPr>
          <w:ind w:left="2835" w:firstLine="0"/>
        </w:pPr>
        <w:rPr>
          <w:rFonts w:hint="default"/>
        </w:r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5" w16cid:durableId="1856385179">
    <w:abstractNumId w:val="0"/>
  </w:num>
  <w:num w:numId="6" w16cid:durableId="1261183899">
    <w:abstractNumId w:val="9"/>
  </w:num>
  <w:num w:numId="7" w16cid:durableId="391387075">
    <w:abstractNumId w:val="39"/>
    <w:lvlOverride w:ilvl="0">
      <w:lvl w:ilvl="0">
        <w:start w:val="1"/>
        <w:numFmt w:val="decimal"/>
        <w:lvlText w:val="%1."/>
        <w:lvlJc w:val="right"/>
        <w:pPr>
          <w:tabs>
            <w:tab w:val="num" w:pos="357"/>
          </w:tabs>
          <w:ind w:left="357" w:hanging="69"/>
        </w:pPr>
        <w:rPr>
          <w:rFonts w:hint="default"/>
          <w:b w:val="0"/>
          <w:bCs w:val="0"/>
        </w:rPr>
      </w:lvl>
    </w:lvlOverride>
    <w:lvlOverride w:ilvl="1">
      <w:lvl w:ilvl="1">
        <w:start w:val="1"/>
        <w:numFmt w:val="decimal"/>
        <w:pStyle w:val="Heading2"/>
        <w:lvlText w:val="%1.%2."/>
        <w:lvlJc w:val="left"/>
        <w:pPr>
          <w:ind w:left="792" w:hanging="432"/>
        </w:p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8" w16cid:durableId="1374034823">
    <w:abstractNumId w:val="39"/>
    <w:lvlOverride w:ilvl="0">
      <w:lvl w:ilvl="0">
        <w:start w:val="1"/>
        <w:numFmt w:val="decimal"/>
        <w:lvlText w:val="%1."/>
        <w:lvlJc w:val="right"/>
        <w:pPr>
          <w:tabs>
            <w:tab w:val="num" w:pos="357"/>
          </w:tabs>
          <w:ind w:left="357" w:hanging="69"/>
        </w:pPr>
        <w:rPr>
          <w:rFonts w:hint="default"/>
          <w:b w:val="0"/>
          <w:bCs w:val="0"/>
        </w:rPr>
      </w:lvl>
    </w:lvlOverride>
    <w:lvlOverride w:ilvl="1">
      <w:lvl w:ilvl="1">
        <w:start w:val="1"/>
        <w:numFmt w:val="decimal"/>
        <w:pStyle w:val="Heading2"/>
        <w:lvlText w:val="%1.%2."/>
        <w:lvlJc w:val="left"/>
        <w:pPr>
          <w:ind w:left="792" w:hanging="432"/>
        </w:p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9" w16cid:durableId="767697075">
    <w:abstractNumId w:val="39"/>
    <w:lvlOverride w:ilvl="0">
      <w:lvl w:ilvl="0">
        <w:start w:val="1"/>
        <w:numFmt w:val="decimal"/>
        <w:lvlText w:val="%1."/>
        <w:lvlJc w:val="right"/>
        <w:pPr>
          <w:tabs>
            <w:tab w:val="num" w:pos="357"/>
          </w:tabs>
          <w:ind w:left="357" w:hanging="69"/>
        </w:pPr>
        <w:rPr>
          <w:rFonts w:hint="default"/>
          <w:b w:val="0"/>
          <w:bCs w:val="0"/>
        </w:rPr>
      </w:lvl>
    </w:lvlOverride>
    <w:lvlOverride w:ilvl="1">
      <w:lvl w:ilvl="1">
        <w:start w:val="1"/>
        <w:numFmt w:val="decimal"/>
        <w:pStyle w:val="Heading2"/>
        <w:lvlText w:val="%1.%2"/>
        <w:lvlJc w:val="left"/>
        <w:pPr>
          <w:ind w:left="2835" w:firstLine="0"/>
        </w:pPr>
        <w:rPr>
          <w:rFonts w:hint="default"/>
        </w:r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10" w16cid:durableId="593559942">
    <w:abstractNumId w:val="39"/>
    <w:lvlOverride w:ilvl="0">
      <w:lvl w:ilvl="0">
        <w:start w:val="1"/>
        <w:numFmt w:val="decimal"/>
        <w:lvlText w:val="%1."/>
        <w:lvlJc w:val="right"/>
        <w:pPr>
          <w:tabs>
            <w:tab w:val="num" w:pos="357"/>
          </w:tabs>
          <w:ind w:left="357" w:hanging="69"/>
        </w:pPr>
        <w:rPr>
          <w:rFonts w:hint="default"/>
          <w:b w:val="0"/>
          <w:bCs w:val="0"/>
        </w:rPr>
      </w:lvl>
    </w:lvlOverride>
    <w:lvlOverride w:ilvl="1">
      <w:lvl w:ilvl="1">
        <w:start w:val="1"/>
        <w:numFmt w:val="decimal"/>
        <w:pStyle w:val="Heading2"/>
        <w:lvlText w:val="%1.%2"/>
        <w:lvlJc w:val="left"/>
        <w:pPr>
          <w:ind w:left="2835" w:firstLine="0"/>
        </w:pPr>
        <w:rPr>
          <w:rFonts w:hint="default"/>
        </w:r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11" w16cid:durableId="456264142">
    <w:abstractNumId w:val="39"/>
    <w:lvlOverride w:ilvl="0">
      <w:lvl w:ilvl="0">
        <w:start w:val="1"/>
        <w:numFmt w:val="decimal"/>
        <w:lvlText w:val="%1."/>
        <w:lvlJc w:val="right"/>
        <w:pPr>
          <w:tabs>
            <w:tab w:val="num" w:pos="357"/>
          </w:tabs>
          <w:ind w:left="357" w:hanging="69"/>
        </w:pPr>
        <w:rPr>
          <w:rFonts w:hint="default"/>
          <w:b w:val="0"/>
          <w:bCs w:val="0"/>
        </w:rPr>
      </w:lvl>
    </w:lvlOverride>
    <w:lvlOverride w:ilvl="1">
      <w:lvl w:ilvl="1">
        <w:start w:val="1"/>
        <w:numFmt w:val="decimal"/>
        <w:pStyle w:val="Heading2"/>
        <w:lvlText w:val="%1.%2."/>
        <w:lvlJc w:val="left"/>
        <w:pPr>
          <w:ind w:left="792" w:hanging="432"/>
        </w:p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12" w16cid:durableId="1052195362">
    <w:abstractNumId w:val="35"/>
  </w:num>
  <w:num w:numId="13" w16cid:durableId="120416169">
    <w:abstractNumId w:val="15"/>
  </w:num>
  <w:num w:numId="14" w16cid:durableId="1921212114">
    <w:abstractNumId w:val="33"/>
  </w:num>
  <w:num w:numId="15" w16cid:durableId="667367646">
    <w:abstractNumId w:val="32"/>
  </w:num>
  <w:num w:numId="16" w16cid:durableId="524828534">
    <w:abstractNumId w:val="22"/>
  </w:num>
  <w:num w:numId="17" w16cid:durableId="1325354883">
    <w:abstractNumId w:val="21"/>
  </w:num>
  <w:num w:numId="18" w16cid:durableId="1640569346">
    <w:abstractNumId w:val="38"/>
  </w:num>
  <w:num w:numId="19" w16cid:durableId="1080761095">
    <w:abstractNumId w:val="6"/>
  </w:num>
  <w:num w:numId="20" w16cid:durableId="83113301">
    <w:abstractNumId w:val="26"/>
  </w:num>
  <w:num w:numId="21" w16cid:durableId="183595770">
    <w:abstractNumId w:val="25"/>
  </w:num>
  <w:num w:numId="22" w16cid:durableId="830876027">
    <w:abstractNumId w:val="10"/>
  </w:num>
  <w:num w:numId="23" w16cid:durableId="1972320058">
    <w:abstractNumId w:val="37"/>
  </w:num>
  <w:num w:numId="24" w16cid:durableId="1829175395">
    <w:abstractNumId w:val="11"/>
  </w:num>
  <w:num w:numId="25" w16cid:durableId="2122920945">
    <w:abstractNumId w:val="3"/>
  </w:num>
  <w:num w:numId="26" w16cid:durableId="618529104">
    <w:abstractNumId w:val="31"/>
  </w:num>
  <w:num w:numId="27" w16cid:durableId="662705177">
    <w:abstractNumId w:val="19"/>
  </w:num>
  <w:num w:numId="28" w16cid:durableId="33429441">
    <w:abstractNumId w:val="36"/>
  </w:num>
  <w:num w:numId="29" w16cid:durableId="1204439560">
    <w:abstractNumId w:val="34"/>
  </w:num>
  <w:num w:numId="30" w16cid:durableId="1427381295">
    <w:abstractNumId w:val="41"/>
  </w:num>
  <w:num w:numId="31" w16cid:durableId="1465125446">
    <w:abstractNumId w:val="8"/>
  </w:num>
  <w:num w:numId="32" w16cid:durableId="1338846870">
    <w:abstractNumId w:val="40"/>
  </w:num>
  <w:num w:numId="33" w16cid:durableId="1653564548">
    <w:abstractNumId w:val="30"/>
  </w:num>
  <w:num w:numId="34" w16cid:durableId="1005746262">
    <w:abstractNumId w:val="28"/>
  </w:num>
  <w:num w:numId="35" w16cid:durableId="331491778">
    <w:abstractNumId w:val="16"/>
  </w:num>
  <w:num w:numId="36" w16cid:durableId="2047901558">
    <w:abstractNumId w:val="17"/>
  </w:num>
  <w:num w:numId="37" w16cid:durableId="599291724">
    <w:abstractNumId w:val="5"/>
  </w:num>
  <w:num w:numId="38" w16cid:durableId="841627487">
    <w:abstractNumId w:val="27"/>
  </w:num>
  <w:num w:numId="39" w16cid:durableId="1172186126">
    <w:abstractNumId w:val="14"/>
  </w:num>
  <w:num w:numId="40" w16cid:durableId="561529725">
    <w:abstractNumId w:val="12"/>
  </w:num>
  <w:num w:numId="41" w16cid:durableId="1704672755">
    <w:abstractNumId w:val="7"/>
  </w:num>
  <w:num w:numId="42" w16cid:durableId="1986349097">
    <w:abstractNumId w:val="13"/>
  </w:num>
  <w:num w:numId="43" w16cid:durableId="838155015">
    <w:abstractNumId w:val="23"/>
  </w:num>
  <w:num w:numId="44" w16cid:durableId="174003131">
    <w:abstractNumId w:val="4"/>
  </w:num>
  <w:num w:numId="45" w16cid:durableId="700055681">
    <w:abstractNumId w:val="18"/>
  </w:num>
  <w:num w:numId="46" w16cid:durableId="914052342">
    <w:abstractNumId w:val="24"/>
  </w:num>
  <w:num w:numId="47" w16cid:durableId="1249194249">
    <w:abstractNumId w:val="2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QwsTQ1N7YwMrM0MrdQ0lEKTi0uzszPAykwNKgFACvWLhYtAAAA"/>
    <w:docVar w:name="APWAFVersion" w:val="5.0"/>
  </w:docVars>
  <w:rsids>
    <w:rsidRoot w:val="00B60795"/>
    <w:rsid w:val="000002A5"/>
    <w:rsid w:val="00000397"/>
    <w:rsid w:val="00000604"/>
    <w:rsid w:val="00000756"/>
    <w:rsid w:val="000007FF"/>
    <w:rsid w:val="000008DE"/>
    <w:rsid w:val="00000A78"/>
    <w:rsid w:val="00000CFF"/>
    <w:rsid w:val="00000D83"/>
    <w:rsid w:val="00000DF3"/>
    <w:rsid w:val="00001119"/>
    <w:rsid w:val="00001E2C"/>
    <w:rsid w:val="00001F0C"/>
    <w:rsid w:val="000022EB"/>
    <w:rsid w:val="00002B51"/>
    <w:rsid w:val="00002D38"/>
    <w:rsid w:val="00003A01"/>
    <w:rsid w:val="00003F3D"/>
    <w:rsid w:val="00005496"/>
    <w:rsid w:val="0000589F"/>
    <w:rsid w:val="00006041"/>
    <w:rsid w:val="0000628A"/>
    <w:rsid w:val="0000671B"/>
    <w:rsid w:val="00006A82"/>
    <w:rsid w:val="00006EC9"/>
    <w:rsid w:val="000070F8"/>
    <w:rsid w:val="000078C1"/>
    <w:rsid w:val="00007D1C"/>
    <w:rsid w:val="00007F05"/>
    <w:rsid w:val="000102C8"/>
    <w:rsid w:val="00010875"/>
    <w:rsid w:val="00011308"/>
    <w:rsid w:val="000114AD"/>
    <w:rsid w:val="00011735"/>
    <w:rsid w:val="000117F5"/>
    <w:rsid w:val="00011A3A"/>
    <w:rsid w:val="00011D77"/>
    <w:rsid w:val="000120D8"/>
    <w:rsid w:val="000121F3"/>
    <w:rsid w:val="00012428"/>
    <w:rsid w:val="0001284F"/>
    <w:rsid w:val="00012A75"/>
    <w:rsid w:val="00012ABF"/>
    <w:rsid w:val="00012F4B"/>
    <w:rsid w:val="00013245"/>
    <w:rsid w:val="00013AFA"/>
    <w:rsid w:val="00013BA2"/>
    <w:rsid w:val="00013E5F"/>
    <w:rsid w:val="00014056"/>
    <w:rsid w:val="00014089"/>
    <w:rsid w:val="0001438A"/>
    <w:rsid w:val="000148ED"/>
    <w:rsid w:val="00014E69"/>
    <w:rsid w:val="00015009"/>
    <w:rsid w:val="00015203"/>
    <w:rsid w:val="000153DF"/>
    <w:rsid w:val="00015745"/>
    <w:rsid w:val="00015D36"/>
    <w:rsid w:val="00015F4F"/>
    <w:rsid w:val="0001659B"/>
    <w:rsid w:val="000169A9"/>
    <w:rsid w:val="000169E3"/>
    <w:rsid w:val="00016B41"/>
    <w:rsid w:val="00016C9E"/>
    <w:rsid w:val="00016DBD"/>
    <w:rsid w:val="00017234"/>
    <w:rsid w:val="00017BB5"/>
    <w:rsid w:val="00020227"/>
    <w:rsid w:val="0002027A"/>
    <w:rsid w:val="000204D6"/>
    <w:rsid w:val="000206FD"/>
    <w:rsid w:val="00020A59"/>
    <w:rsid w:val="00020F2A"/>
    <w:rsid w:val="00021AE6"/>
    <w:rsid w:val="00021BEE"/>
    <w:rsid w:val="00023099"/>
    <w:rsid w:val="000231CB"/>
    <w:rsid w:val="000232A3"/>
    <w:rsid w:val="000233B3"/>
    <w:rsid w:val="00023526"/>
    <w:rsid w:val="00023553"/>
    <w:rsid w:val="00023664"/>
    <w:rsid w:val="00023CDE"/>
    <w:rsid w:val="00023D48"/>
    <w:rsid w:val="000242CF"/>
    <w:rsid w:val="00024416"/>
    <w:rsid w:val="0002458D"/>
    <w:rsid w:val="00024A9A"/>
    <w:rsid w:val="00025065"/>
    <w:rsid w:val="00025585"/>
    <w:rsid w:val="00025A75"/>
    <w:rsid w:val="00025DDB"/>
    <w:rsid w:val="000265BD"/>
    <w:rsid w:val="000268BD"/>
    <w:rsid w:val="00026C5E"/>
    <w:rsid w:val="00026FCC"/>
    <w:rsid w:val="0002779C"/>
    <w:rsid w:val="000306E8"/>
    <w:rsid w:val="00030A4C"/>
    <w:rsid w:val="00030D94"/>
    <w:rsid w:val="000313C4"/>
    <w:rsid w:val="00031738"/>
    <w:rsid w:val="00031779"/>
    <w:rsid w:val="00032440"/>
    <w:rsid w:val="000324FB"/>
    <w:rsid w:val="000326B4"/>
    <w:rsid w:val="000330D1"/>
    <w:rsid w:val="00033C04"/>
    <w:rsid w:val="00033DBB"/>
    <w:rsid w:val="0003442C"/>
    <w:rsid w:val="00034B9F"/>
    <w:rsid w:val="00034DC9"/>
    <w:rsid w:val="00034DF5"/>
    <w:rsid w:val="00034F10"/>
    <w:rsid w:val="0003507E"/>
    <w:rsid w:val="000352D4"/>
    <w:rsid w:val="00035333"/>
    <w:rsid w:val="00035545"/>
    <w:rsid w:val="000356D7"/>
    <w:rsid w:val="00035748"/>
    <w:rsid w:val="00036039"/>
    <w:rsid w:val="000360A7"/>
    <w:rsid w:val="00036562"/>
    <w:rsid w:val="00036951"/>
    <w:rsid w:val="000369D3"/>
    <w:rsid w:val="00036BD8"/>
    <w:rsid w:val="00036C16"/>
    <w:rsid w:val="0003763E"/>
    <w:rsid w:val="000378FF"/>
    <w:rsid w:val="00037916"/>
    <w:rsid w:val="00037940"/>
    <w:rsid w:val="000401D1"/>
    <w:rsid w:val="00040457"/>
    <w:rsid w:val="000408A1"/>
    <w:rsid w:val="00041E31"/>
    <w:rsid w:val="00042DBB"/>
    <w:rsid w:val="00043A72"/>
    <w:rsid w:val="00043BFC"/>
    <w:rsid w:val="00043C19"/>
    <w:rsid w:val="00043F7D"/>
    <w:rsid w:val="0004402C"/>
    <w:rsid w:val="00044BAC"/>
    <w:rsid w:val="0004529A"/>
    <w:rsid w:val="000456D9"/>
    <w:rsid w:val="00045B75"/>
    <w:rsid w:val="00045C1B"/>
    <w:rsid w:val="000461B0"/>
    <w:rsid w:val="000463C5"/>
    <w:rsid w:val="00046724"/>
    <w:rsid w:val="00046F96"/>
    <w:rsid w:val="0004799C"/>
    <w:rsid w:val="00047C5E"/>
    <w:rsid w:val="00050A2F"/>
    <w:rsid w:val="00050A47"/>
    <w:rsid w:val="00050C6B"/>
    <w:rsid w:val="0005110F"/>
    <w:rsid w:val="00051313"/>
    <w:rsid w:val="0005187C"/>
    <w:rsid w:val="00051903"/>
    <w:rsid w:val="00051CAB"/>
    <w:rsid w:val="00051DD5"/>
    <w:rsid w:val="000522B0"/>
    <w:rsid w:val="0005240D"/>
    <w:rsid w:val="00052766"/>
    <w:rsid w:val="00052C58"/>
    <w:rsid w:val="00052E7F"/>
    <w:rsid w:val="0005327B"/>
    <w:rsid w:val="000532C4"/>
    <w:rsid w:val="000533C2"/>
    <w:rsid w:val="000534E6"/>
    <w:rsid w:val="000536C4"/>
    <w:rsid w:val="00053719"/>
    <w:rsid w:val="00053902"/>
    <w:rsid w:val="000539D8"/>
    <w:rsid w:val="000540B6"/>
    <w:rsid w:val="00054763"/>
    <w:rsid w:val="00054869"/>
    <w:rsid w:val="000549AC"/>
    <w:rsid w:val="000556A7"/>
    <w:rsid w:val="00055707"/>
    <w:rsid w:val="000559A7"/>
    <w:rsid w:val="000567CE"/>
    <w:rsid w:val="00057ACE"/>
    <w:rsid w:val="00057C86"/>
    <w:rsid w:val="0006032B"/>
    <w:rsid w:val="00060C9D"/>
    <w:rsid w:val="00060EB9"/>
    <w:rsid w:val="00060EEA"/>
    <w:rsid w:val="00061F21"/>
    <w:rsid w:val="00062A49"/>
    <w:rsid w:val="00062F47"/>
    <w:rsid w:val="000632B2"/>
    <w:rsid w:val="000633E8"/>
    <w:rsid w:val="000636E6"/>
    <w:rsid w:val="000639DD"/>
    <w:rsid w:val="00063BBE"/>
    <w:rsid w:val="00063F52"/>
    <w:rsid w:val="00064062"/>
    <w:rsid w:val="000643AE"/>
    <w:rsid w:val="000649B1"/>
    <w:rsid w:val="00064ACD"/>
    <w:rsid w:val="00064FA4"/>
    <w:rsid w:val="00064FA6"/>
    <w:rsid w:val="000654AA"/>
    <w:rsid w:val="00065743"/>
    <w:rsid w:val="00065CA8"/>
    <w:rsid w:val="00066493"/>
    <w:rsid w:val="000664B3"/>
    <w:rsid w:val="00066537"/>
    <w:rsid w:val="00066C17"/>
    <w:rsid w:val="00066C46"/>
    <w:rsid w:val="000675DB"/>
    <w:rsid w:val="00067614"/>
    <w:rsid w:val="00067868"/>
    <w:rsid w:val="0006790C"/>
    <w:rsid w:val="00067AF0"/>
    <w:rsid w:val="00067F4A"/>
    <w:rsid w:val="00070A6A"/>
    <w:rsid w:val="00070D54"/>
    <w:rsid w:val="00070FA7"/>
    <w:rsid w:val="000710C5"/>
    <w:rsid w:val="00071340"/>
    <w:rsid w:val="00071417"/>
    <w:rsid w:val="000720EB"/>
    <w:rsid w:val="000721CC"/>
    <w:rsid w:val="000726DC"/>
    <w:rsid w:val="000735CF"/>
    <w:rsid w:val="00073600"/>
    <w:rsid w:val="000738BC"/>
    <w:rsid w:val="000739E6"/>
    <w:rsid w:val="00073B09"/>
    <w:rsid w:val="00073BBB"/>
    <w:rsid w:val="00074EC0"/>
    <w:rsid w:val="0007542F"/>
    <w:rsid w:val="0007562D"/>
    <w:rsid w:val="000757FE"/>
    <w:rsid w:val="00075A46"/>
    <w:rsid w:val="00075BE3"/>
    <w:rsid w:val="00075DD6"/>
    <w:rsid w:val="000762B2"/>
    <w:rsid w:val="00076452"/>
    <w:rsid w:val="00076EB1"/>
    <w:rsid w:val="0007711E"/>
    <w:rsid w:val="0007720B"/>
    <w:rsid w:val="000775F9"/>
    <w:rsid w:val="00077B4D"/>
    <w:rsid w:val="00077DAB"/>
    <w:rsid w:val="000800AC"/>
    <w:rsid w:val="0008081F"/>
    <w:rsid w:val="00080A16"/>
    <w:rsid w:val="00080A95"/>
    <w:rsid w:val="00081099"/>
    <w:rsid w:val="00081145"/>
    <w:rsid w:val="000812C6"/>
    <w:rsid w:val="000826E6"/>
    <w:rsid w:val="00082A15"/>
    <w:rsid w:val="000834B8"/>
    <w:rsid w:val="0008389D"/>
    <w:rsid w:val="0008458B"/>
    <w:rsid w:val="00084D37"/>
    <w:rsid w:val="00085329"/>
    <w:rsid w:val="00085CE0"/>
    <w:rsid w:val="00086A55"/>
    <w:rsid w:val="00086CE5"/>
    <w:rsid w:val="00086F99"/>
    <w:rsid w:val="00086FC4"/>
    <w:rsid w:val="00087182"/>
    <w:rsid w:val="0009024D"/>
    <w:rsid w:val="00090369"/>
    <w:rsid w:val="00090658"/>
    <w:rsid w:val="00090C04"/>
    <w:rsid w:val="00090FB8"/>
    <w:rsid w:val="0009102E"/>
    <w:rsid w:val="00091170"/>
    <w:rsid w:val="0009158E"/>
    <w:rsid w:val="00091674"/>
    <w:rsid w:val="00091B86"/>
    <w:rsid w:val="00092162"/>
    <w:rsid w:val="000921DD"/>
    <w:rsid w:val="00092F0D"/>
    <w:rsid w:val="0009314A"/>
    <w:rsid w:val="00093B77"/>
    <w:rsid w:val="00093DF9"/>
    <w:rsid w:val="000948C0"/>
    <w:rsid w:val="00094FE1"/>
    <w:rsid w:val="00095A58"/>
    <w:rsid w:val="00095A7A"/>
    <w:rsid w:val="00095CD2"/>
    <w:rsid w:val="00096110"/>
    <w:rsid w:val="0009620A"/>
    <w:rsid w:val="000964AD"/>
    <w:rsid w:val="0009685F"/>
    <w:rsid w:val="00096AFB"/>
    <w:rsid w:val="00096EEF"/>
    <w:rsid w:val="0009735C"/>
    <w:rsid w:val="0009738D"/>
    <w:rsid w:val="00097513"/>
    <w:rsid w:val="0009792E"/>
    <w:rsid w:val="00097CB9"/>
    <w:rsid w:val="00097FA9"/>
    <w:rsid w:val="000A0119"/>
    <w:rsid w:val="000A01CE"/>
    <w:rsid w:val="000A05DC"/>
    <w:rsid w:val="000A06B0"/>
    <w:rsid w:val="000A08C3"/>
    <w:rsid w:val="000A1ED2"/>
    <w:rsid w:val="000A22C6"/>
    <w:rsid w:val="000A2454"/>
    <w:rsid w:val="000A2B17"/>
    <w:rsid w:val="000A393E"/>
    <w:rsid w:val="000A399D"/>
    <w:rsid w:val="000A3BED"/>
    <w:rsid w:val="000A3DE5"/>
    <w:rsid w:val="000A3EA4"/>
    <w:rsid w:val="000A48B9"/>
    <w:rsid w:val="000A49F1"/>
    <w:rsid w:val="000A5209"/>
    <w:rsid w:val="000A5953"/>
    <w:rsid w:val="000A5D8C"/>
    <w:rsid w:val="000A6191"/>
    <w:rsid w:val="000A6279"/>
    <w:rsid w:val="000A627D"/>
    <w:rsid w:val="000A6743"/>
    <w:rsid w:val="000A67B6"/>
    <w:rsid w:val="000A7132"/>
    <w:rsid w:val="000A74BB"/>
    <w:rsid w:val="000A7B8F"/>
    <w:rsid w:val="000B05B5"/>
    <w:rsid w:val="000B07C9"/>
    <w:rsid w:val="000B09AC"/>
    <w:rsid w:val="000B0D51"/>
    <w:rsid w:val="000B126F"/>
    <w:rsid w:val="000B1647"/>
    <w:rsid w:val="000B37D4"/>
    <w:rsid w:val="000B4F25"/>
    <w:rsid w:val="000B5A82"/>
    <w:rsid w:val="000B5D68"/>
    <w:rsid w:val="000B62ED"/>
    <w:rsid w:val="000B6390"/>
    <w:rsid w:val="000B65BD"/>
    <w:rsid w:val="000B7058"/>
    <w:rsid w:val="000B71EF"/>
    <w:rsid w:val="000B72AF"/>
    <w:rsid w:val="000C017F"/>
    <w:rsid w:val="000C0AA0"/>
    <w:rsid w:val="000C1170"/>
    <w:rsid w:val="000C307B"/>
    <w:rsid w:val="000C318F"/>
    <w:rsid w:val="000C346E"/>
    <w:rsid w:val="000C362A"/>
    <w:rsid w:val="000C38F7"/>
    <w:rsid w:val="000C3BF7"/>
    <w:rsid w:val="000C4F08"/>
    <w:rsid w:val="000C5C19"/>
    <w:rsid w:val="000C619F"/>
    <w:rsid w:val="000C648E"/>
    <w:rsid w:val="000C6946"/>
    <w:rsid w:val="000C6A29"/>
    <w:rsid w:val="000C6ED9"/>
    <w:rsid w:val="000C6F1C"/>
    <w:rsid w:val="000C7244"/>
    <w:rsid w:val="000C741C"/>
    <w:rsid w:val="000C769A"/>
    <w:rsid w:val="000C7717"/>
    <w:rsid w:val="000C7AD8"/>
    <w:rsid w:val="000C7F1A"/>
    <w:rsid w:val="000D036E"/>
    <w:rsid w:val="000D0A0A"/>
    <w:rsid w:val="000D167F"/>
    <w:rsid w:val="000D177A"/>
    <w:rsid w:val="000D1810"/>
    <w:rsid w:val="000D19E4"/>
    <w:rsid w:val="000D1E48"/>
    <w:rsid w:val="000D333E"/>
    <w:rsid w:val="000D34B5"/>
    <w:rsid w:val="000D3776"/>
    <w:rsid w:val="000D37D8"/>
    <w:rsid w:val="000D3C8D"/>
    <w:rsid w:val="000D40C6"/>
    <w:rsid w:val="000D4D5C"/>
    <w:rsid w:val="000D4F61"/>
    <w:rsid w:val="000D5239"/>
    <w:rsid w:val="000D5332"/>
    <w:rsid w:val="000D5873"/>
    <w:rsid w:val="000D58AD"/>
    <w:rsid w:val="000D6530"/>
    <w:rsid w:val="000D659A"/>
    <w:rsid w:val="000D674D"/>
    <w:rsid w:val="000D6E30"/>
    <w:rsid w:val="000D6EF5"/>
    <w:rsid w:val="000D748E"/>
    <w:rsid w:val="000D7AE3"/>
    <w:rsid w:val="000D7EB1"/>
    <w:rsid w:val="000D7F66"/>
    <w:rsid w:val="000D7F85"/>
    <w:rsid w:val="000E03CE"/>
    <w:rsid w:val="000E079B"/>
    <w:rsid w:val="000E0BF1"/>
    <w:rsid w:val="000E104B"/>
    <w:rsid w:val="000E10D3"/>
    <w:rsid w:val="000E1156"/>
    <w:rsid w:val="000E140E"/>
    <w:rsid w:val="000E1496"/>
    <w:rsid w:val="000E220C"/>
    <w:rsid w:val="000E2722"/>
    <w:rsid w:val="000E276A"/>
    <w:rsid w:val="000E28C9"/>
    <w:rsid w:val="000E2A93"/>
    <w:rsid w:val="000E32B9"/>
    <w:rsid w:val="000E363E"/>
    <w:rsid w:val="000E3F90"/>
    <w:rsid w:val="000E4154"/>
    <w:rsid w:val="000E47C6"/>
    <w:rsid w:val="000E4C47"/>
    <w:rsid w:val="000E4ED2"/>
    <w:rsid w:val="000E5686"/>
    <w:rsid w:val="000E61CA"/>
    <w:rsid w:val="000E68F3"/>
    <w:rsid w:val="000E6BE8"/>
    <w:rsid w:val="000E730D"/>
    <w:rsid w:val="000E73F8"/>
    <w:rsid w:val="000E77DC"/>
    <w:rsid w:val="000F015C"/>
    <w:rsid w:val="000F0197"/>
    <w:rsid w:val="000F0228"/>
    <w:rsid w:val="000F0F11"/>
    <w:rsid w:val="000F0F9A"/>
    <w:rsid w:val="000F11C8"/>
    <w:rsid w:val="000F15CD"/>
    <w:rsid w:val="000F1888"/>
    <w:rsid w:val="000F1D9B"/>
    <w:rsid w:val="000F280A"/>
    <w:rsid w:val="000F2C11"/>
    <w:rsid w:val="000F2DB5"/>
    <w:rsid w:val="000F3044"/>
    <w:rsid w:val="000F33CB"/>
    <w:rsid w:val="000F3757"/>
    <w:rsid w:val="000F383E"/>
    <w:rsid w:val="000F3B86"/>
    <w:rsid w:val="000F3E47"/>
    <w:rsid w:val="000F44A4"/>
    <w:rsid w:val="000F4670"/>
    <w:rsid w:val="000F46B2"/>
    <w:rsid w:val="000F4A70"/>
    <w:rsid w:val="000F4F6D"/>
    <w:rsid w:val="000F5121"/>
    <w:rsid w:val="000F5146"/>
    <w:rsid w:val="000F53CD"/>
    <w:rsid w:val="000F5DFB"/>
    <w:rsid w:val="000F6371"/>
    <w:rsid w:val="000F6865"/>
    <w:rsid w:val="000F6A41"/>
    <w:rsid w:val="000F705C"/>
    <w:rsid w:val="000F739C"/>
    <w:rsid w:val="000F795F"/>
    <w:rsid w:val="000F7B47"/>
    <w:rsid w:val="000F7C83"/>
    <w:rsid w:val="00100607"/>
    <w:rsid w:val="0010063D"/>
    <w:rsid w:val="001007A9"/>
    <w:rsid w:val="001015F0"/>
    <w:rsid w:val="001016D3"/>
    <w:rsid w:val="0010323B"/>
    <w:rsid w:val="00103CB1"/>
    <w:rsid w:val="001056D1"/>
    <w:rsid w:val="00105776"/>
    <w:rsid w:val="00105DAF"/>
    <w:rsid w:val="00105DFF"/>
    <w:rsid w:val="00105EE0"/>
    <w:rsid w:val="001060A3"/>
    <w:rsid w:val="0010620B"/>
    <w:rsid w:val="001074F1"/>
    <w:rsid w:val="00107754"/>
    <w:rsid w:val="00107F0E"/>
    <w:rsid w:val="00110119"/>
    <w:rsid w:val="001101D8"/>
    <w:rsid w:val="0011025A"/>
    <w:rsid w:val="00110958"/>
    <w:rsid w:val="00110CB5"/>
    <w:rsid w:val="00110CFD"/>
    <w:rsid w:val="00110D60"/>
    <w:rsid w:val="001112BB"/>
    <w:rsid w:val="0011240C"/>
    <w:rsid w:val="001126F2"/>
    <w:rsid w:val="00112781"/>
    <w:rsid w:val="00112B35"/>
    <w:rsid w:val="00112C40"/>
    <w:rsid w:val="00112C9A"/>
    <w:rsid w:val="00112E9D"/>
    <w:rsid w:val="00112FD2"/>
    <w:rsid w:val="00113013"/>
    <w:rsid w:val="00113046"/>
    <w:rsid w:val="001133CB"/>
    <w:rsid w:val="00113769"/>
    <w:rsid w:val="00113C55"/>
    <w:rsid w:val="00114169"/>
    <w:rsid w:val="001141C1"/>
    <w:rsid w:val="00114810"/>
    <w:rsid w:val="00115264"/>
    <w:rsid w:val="00115D84"/>
    <w:rsid w:val="00115ED5"/>
    <w:rsid w:val="00116044"/>
    <w:rsid w:val="00116059"/>
    <w:rsid w:val="00116128"/>
    <w:rsid w:val="0011690A"/>
    <w:rsid w:val="00116ED3"/>
    <w:rsid w:val="00117109"/>
    <w:rsid w:val="00117116"/>
    <w:rsid w:val="00117121"/>
    <w:rsid w:val="00117743"/>
    <w:rsid w:val="001177EC"/>
    <w:rsid w:val="00117843"/>
    <w:rsid w:val="00117941"/>
    <w:rsid w:val="00117FA5"/>
    <w:rsid w:val="00120B3E"/>
    <w:rsid w:val="00120BDF"/>
    <w:rsid w:val="00120D24"/>
    <w:rsid w:val="00121047"/>
    <w:rsid w:val="00121126"/>
    <w:rsid w:val="00121809"/>
    <w:rsid w:val="00121D98"/>
    <w:rsid w:val="00121E44"/>
    <w:rsid w:val="001220F1"/>
    <w:rsid w:val="0012254C"/>
    <w:rsid w:val="0012279A"/>
    <w:rsid w:val="00122A82"/>
    <w:rsid w:val="00122DD3"/>
    <w:rsid w:val="00122DF4"/>
    <w:rsid w:val="00122E4D"/>
    <w:rsid w:val="001237C1"/>
    <w:rsid w:val="00123988"/>
    <w:rsid w:val="00123C3C"/>
    <w:rsid w:val="0012463A"/>
    <w:rsid w:val="00124FE9"/>
    <w:rsid w:val="00125668"/>
    <w:rsid w:val="001256DD"/>
    <w:rsid w:val="00125ED9"/>
    <w:rsid w:val="00125EEC"/>
    <w:rsid w:val="00126126"/>
    <w:rsid w:val="0012668C"/>
    <w:rsid w:val="00126710"/>
    <w:rsid w:val="00127C04"/>
    <w:rsid w:val="0013016D"/>
    <w:rsid w:val="0013030F"/>
    <w:rsid w:val="00130420"/>
    <w:rsid w:val="0013058D"/>
    <w:rsid w:val="00130BC4"/>
    <w:rsid w:val="0013162D"/>
    <w:rsid w:val="00131AFD"/>
    <w:rsid w:val="001320A7"/>
    <w:rsid w:val="001321B9"/>
    <w:rsid w:val="00132E87"/>
    <w:rsid w:val="00132F90"/>
    <w:rsid w:val="00133A19"/>
    <w:rsid w:val="001340BC"/>
    <w:rsid w:val="001346EF"/>
    <w:rsid w:val="0013472B"/>
    <w:rsid w:val="00134815"/>
    <w:rsid w:val="00134D76"/>
    <w:rsid w:val="00135681"/>
    <w:rsid w:val="00135B9A"/>
    <w:rsid w:val="00135DD4"/>
    <w:rsid w:val="00135F6A"/>
    <w:rsid w:val="0013601D"/>
    <w:rsid w:val="001365E6"/>
    <w:rsid w:val="00136636"/>
    <w:rsid w:val="00136E2C"/>
    <w:rsid w:val="0013780E"/>
    <w:rsid w:val="001402B6"/>
    <w:rsid w:val="001408C3"/>
    <w:rsid w:val="00140B34"/>
    <w:rsid w:val="0014124E"/>
    <w:rsid w:val="00141776"/>
    <w:rsid w:val="00141C45"/>
    <w:rsid w:val="001424A9"/>
    <w:rsid w:val="00142BE6"/>
    <w:rsid w:val="00143428"/>
    <w:rsid w:val="001435A6"/>
    <w:rsid w:val="00144459"/>
    <w:rsid w:val="001449BC"/>
    <w:rsid w:val="001454DB"/>
    <w:rsid w:val="00145720"/>
    <w:rsid w:val="0014640B"/>
    <w:rsid w:val="00146BD5"/>
    <w:rsid w:val="00146F5C"/>
    <w:rsid w:val="00147018"/>
    <w:rsid w:val="00147389"/>
    <w:rsid w:val="001474D8"/>
    <w:rsid w:val="001478D9"/>
    <w:rsid w:val="00147984"/>
    <w:rsid w:val="001479C9"/>
    <w:rsid w:val="00147A2A"/>
    <w:rsid w:val="00150056"/>
    <w:rsid w:val="00150242"/>
    <w:rsid w:val="00150561"/>
    <w:rsid w:val="0015159E"/>
    <w:rsid w:val="00151685"/>
    <w:rsid w:val="00151CB8"/>
    <w:rsid w:val="00151FCB"/>
    <w:rsid w:val="00152289"/>
    <w:rsid w:val="001527F3"/>
    <w:rsid w:val="00152A00"/>
    <w:rsid w:val="00152B0D"/>
    <w:rsid w:val="00152C9C"/>
    <w:rsid w:val="00152F1B"/>
    <w:rsid w:val="0015314A"/>
    <w:rsid w:val="00153394"/>
    <w:rsid w:val="00153F1A"/>
    <w:rsid w:val="00153F48"/>
    <w:rsid w:val="00154677"/>
    <w:rsid w:val="00155094"/>
    <w:rsid w:val="00156225"/>
    <w:rsid w:val="00156BE4"/>
    <w:rsid w:val="00156C39"/>
    <w:rsid w:val="00156E2A"/>
    <w:rsid w:val="00156F87"/>
    <w:rsid w:val="00157178"/>
    <w:rsid w:val="00157C73"/>
    <w:rsid w:val="001603EB"/>
    <w:rsid w:val="00160C09"/>
    <w:rsid w:val="00160D27"/>
    <w:rsid w:val="00160F5F"/>
    <w:rsid w:val="001616BC"/>
    <w:rsid w:val="00161B5B"/>
    <w:rsid w:val="00161B5C"/>
    <w:rsid w:val="00161EBF"/>
    <w:rsid w:val="001624FF"/>
    <w:rsid w:val="00162896"/>
    <w:rsid w:val="001635B1"/>
    <w:rsid w:val="0016422B"/>
    <w:rsid w:val="001642BB"/>
    <w:rsid w:val="0016449C"/>
    <w:rsid w:val="00164B11"/>
    <w:rsid w:val="00164F68"/>
    <w:rsid w:val="00165284"/>
    <w:rsid w:val="001652C1"/>
    <w:rsid w:val="0016533F"/>
    <w:rsid w:val="001654F0"/>
    <w:rsid w:val="001656F1"/>
    <w:rsid w:val="001657B4"/>
    <w:rsid w:val="00165BE7"/>
    <w:rsid w:val="00165CF0"/>
    <w:rsid w:val="001663D9"/>
    <w:rsid w:val="001664AF"/>
    <w:rsid w:val="0016686F"/>
    <w:rsid w:val="001676E4"/>
    <w:rsid w:val="00167AE4"/>
    <w:rsid w:val="00167BC1"/>
    <w:rsid w:val="00167BD0"/>
    <w:rsid w:val="00167C62"/>
    <w:rsid w:val="00167FF0"/>
    <w:rsid w:val="00170090"/>
    <w:rsid w:val="00170247"/>
    <w:rsid w:val="001705F6"/>
    <w:rsid w:val="00170657"/>
    <w:rsid w:val="0017073B"/>
    <w:rsid w:val="00171143"/>
    <w:rsid w:val="001711CC"/>
    <w:rsid w:val="00171242"/>
    <w:rsid w:val="00171976"/>
    <w:rsid w:val="001719FB"/>
    <w:rsid w:val="00171DB7"/>
    <w:rsid w:val="0017272E"/>
    <w:rsid w:val="00172A65"/>
    <w:rsid w:val="00172F03"/>
    <w:rsid w:val="00172F1E"/>
    <w:rsid w:val="00173601"/>
    <w:rsid w:val="00173B49"/>
    <w:rsid w:val="001740B6"/>
    <w:rsid w:val="00174C02"/>
    <w:rsid w:val="00175269"/>
    <w:rsid w:val="001753B2"/>
    <w:rsid w:val="00175A7F"/>
    <w:rsid w:val="00175B98"/>
    <w:rsid w:val="00176105"/>
    <w:rsid w:val="00177580"/>
    <w:rsid w:val="001775B7"/>
    <w:rsid w:val="001779DF"/>
    <w:rsid w:val="00177DB2"/>
    <w:rsid w:val="00177FF7"/>
    <w:rsid w:val="001802F1"/>
    <w:rsid w:val="0018044F"/>
    <w:rsid w:val="00181B48"/>
    <w:rsid w:val="00181E51"/>
    <w:rsid w:val="00182403"/>
    <w:rsid w:val="0018271F"/>
    <w:rsid w:val="00182A38"/>
    <w:rsid w:val="001830AF"/>
    <w:rsid w:val="001832B5"/>
    <w:rsid w:val="001833ED"/>
    <w:rsid w:val="0018343B"/>
    <w:rsid w:val="00183739"/>
    <w:rsid w:val="0018391B"/>
    <w:rsid w:val="001840A2"/>
    <w:rsid w:val="0018422A"/>
    <w:rsid w:val="00184352"/>
    <w:rsid w:val="001844F1"/>
    <w:rsid w:val="001848EE"/>
    <w:rsid w:val="00184C5E"/>
    <w:rsid w:val="0018501F"/>
    <w:rsid w:val="00185D31"/>
    <w:rsid w:val="00185D56"/>
    <w:rsid w:val="00185DF9"/>
    <w:rsid w:val="00186A43"/>
    <w:rsid w:val="001870E7"/>
    <w:rsid w:val="001874A0"/>
    <w:rsid w:val="001875B3"/>
    <w:rsid w:val="00187A54"/>
    <w:rsid w:val="00187D60"/>
    <w:rsid w:val="00190000"/>
    <w:rsid w:val="001906FC"/>
    <w:rsid w:val="00190965"/>
    <w:rsid w:val="00191588"/>
    <w:rsid w:val="0019180D"/>
    <w:rsid w:val="0019194A"/>
    <w:rsid w:val="00191B65"/>
    <w:rsid w:val="0019283B"/>
    <w:rsid w:val="00192A17"/>
    <w:rsid w:val="00192F5F"/>
    <w:rsid w:val="00193CFC"/>
    <w:rsid w:val="00193E92"/>
    <w:rsid w:val="001941DA"/>
    <w:rsid w:val="0019430E"/>
    <w:rsid w:val="0019440F"/>
    <w:rsid w:val="001949E9"/>
    <w:rsid w:val="00194E15"/>
    <w:rsid w:val="00195BCA"/>
    <w:rsid w:val="00195BD7"/>
    <w:rsid w:val="001960E8"/>
    <w:rsid w:val="0019635C"/>
    <w:rsid w:val="00196602"/>
    <w:rsid w:val="00196714"/>
    <w:rsid w:val="0019690C"/>
    <w:rsid w:val="00196B12"/>
    <w:rsid w:val="00197048"/>
    <w:rsid w:val="001971DE"/>
    <w:rsid w:val="001976B5"/>
    <w:rsid w:val="001979D1"/>
    <w:rsid w:val="00197C23"/>
    <w:rsid w:val="001A022E"/>
    <w:rsid w:val="001A035F"/>
    <w:rsid w:val="001A0A5D"/>
    <w:rsid w:val="001A0A93"/>
    <w:rsid w:val="001A0CC4"/>
    <w:rsid w:val="001A0D94"/>
    <w:rsid w:val="001A0F98"/>
    <w:rsid w:val="001A1889"/>
    <w:rsid w:val="001A1908"/>
    <w:rsid w:val="001A27A0"/>
    <w:rsid w:val="001A2852"/>
    <w:rsid w:val="001A36AA"/>
    <w:rsid w:val="001A37F8"/>
    <w:rsid w:val="001A3EBC"/>
    <w:rsid w:val="001A416C"/>
    <w:rsid w:val="001A4CE5"/>
    <w:rsid w:val="001A4F75"/>
    <w:rsid w:val="001A50C8"/>
    <w:rsid w:val="001A574C"/>
    <w:rsid w:val="001A580A"/>
    <w:rsid w:val="001A58BE"/>
    <w:rsid w:val="001A5D1F"/>
    <w:rsid w:val="001A5E1D"/>
    <w:rsid w:val="001A5EE9"/>
    <w:rsid w:val="001A651D"/>
    <w:rsid w:val="001A6741"/>
    <w:rsid w:val="001A68C3"/>
    <w:rsid w:val="001A69E1"/>
    <w:rsid w:val="001A6FFB"/>
    <w:rsid w:val="001A72D0"/>
    <w:rsid w:val="001A77C8"/>
    <w:rsid w:val="001A7C11"/>
    <w:rsid w:val="001A7D9C"/>
    <w:rsid w:val="001B03E2"/>
    <w:rsid w:val="001B0D7C"/>
    <w:rsid w:val="001B0F6A"/>
    <w:rsid w:val="001B160E"/>
    <w:rsid w:val="001B25AB"/>
    <w:rsid w:val="001B2635"/>
    <w:rsid w:val="001B2A25"/>
    <w:rsid w:val="001B2CE7"/>
    <w:rsid w:val="001B3900"/>
    <w:rsid w:val="001B3CAC"/>
    <w:rsid w:val="001B3E7A"/>
    <w:rsid w:val="001B4058"/>
    <w:rsid w:val="001B451D"/>
    <w:rsid w:val="001B503D"/>
    <w:rsid w:val="001B5078"/>
    <w:rsid w:val="001B531D"/>
    <w:rsid w:val="001B580C"/>
    <w:rsid w:val="001B5CB9"/>
    <w:rsid w:val="001B665A"/>
    <w:rsid w:val="001B699F"/>
    <w:rsid w:val="001B6D29"/>
    <w:rsid w:val="001B77D8"/>
    <w:rsid w:val="001B7CB6"/>
    <w:rsid w:val="001B7D57"/>
    <w:rsid w:val="001B7EE4"/>
    <w:rsid w:val="001C0233"/>
    <w:rsid w:val="001C0C07"/>
    <w:rsid w:val="001C16F9"/>
    <w:rsid w:val="001C1793"/>
    <w:rsid w:val="001C17A7"/>
    <w:rsid w:val="001C1849"/>
    <w:rsid w:val="001C1E60"/>
    <w:rsid w:val="001C2467"/>
    <w:rsid w:val="001C2A38"/>
    <w:rsid w:val="001C35CB"/>
    <w:rsid w:val="001C374E"/>
    <w:rsid w:val="001C3C38"/>
    <w:rsid w:val="001C41CC"/>
    <w:rsid w:val="001C4300"/>
    <w:rsid w:val="001C431B"/>
    <w:rsid w:val="001C4388"/>
    <w:rsid w:val="001C44DA"/>
    <w:rsid w:val="001C45EA"/>
    <w:rsid w:val="001C4AD5"/>
    <w:rsid w:val="001C51AF"/>
    <w:rsid w:val="001C579C"/>
    <w:rsid w:val="001C5AD9"/>
    <w:rsid w:val="001C5C73"/>
    <w:rsid w:val="001C6658"/>
    <w:rsid w:val="001C6952"/>
    <w:rsid w:val="001C69B5"/>
    <w:rsid w:val="001C6E4E"/>
    <w:rsid w:val="001C70A8"/>
    <w:rsid w:val="001C77E9"/>
    <w:rsid w:val="001D0034"/>
    <w:rsid w:val="001D062A"/>
    <w:rsid w:val="001D077D"/>
    <w:rsid w:val="001D07F2"/>
    <w:rsid w:val="001D0F22"/>
    <w:rsid w:val="001D0F6F"/>
    <w:rsid w:val="001D116F"/>
    <w:rsid w:val="001D1756"/>
    <w:rsid w:val="001D19F7"/>
    <w:rsid w:val="001D1E35"/>
    <w:rsid w:val="001D1EBB"/>
    <w:rsid w:val="001D265B"/>
    <w:rsid w:val="001D2B4D"/>
    <w:rsid w:val="001D2BD4"/>
    <w:rsid w:val="001D307B"/>
    <w:rsid w:val="001D3447"/>
    <w:rsid w:val="001D362E"/>
    <w:rsid w:val="001D4913"/>
    <w:rsid w:val="001D4C14"/>
    <w:rsid w:val="001D4E07"/>
    <w:rsid w:val="001D4F37"/>
    <w:rsid w:val="001D5162"/>
    <w:rsid w:val="001D570F"/>
    <w:rsid w:val="001D6153"/>
    <w:rsid w:val="001D6177"/>
    <w:rsid w:val="001D61A0"/>
    <w:rsid w:val="001D6568"/>
    <w:rsid w:val="001D6586"/>
    <w:rsid w:val="001D6A44"/>
    <w:rsid w:val="001D6D38"/>
    <w:rsid w:val="001D780C"/>
    <w:rsid w:val="001E04EC"/>
    <w:rsid w:val="001E0762"/>
    <w:rsid w:val="001E08C7"/>
    <w:rsid w:val="001E123F"/>
    <w:rsid w:val="001E1244"/>
    <w:rsid w:val="001E1A02"/>
    <w:rsid w:val="001E1BFF"/>
    <w:rsid w:val="001E29C4"/>
    <w:rsid w:val="001E3207"/>
    <w:rsid w:val="001E3806"/>
    <w:rsid w:val="001E3F9E"/>
    <w:rsid w:val="001E40BC"/>
    <w:rsid w:val="001E4196"/>
    <w:rsid w:val="001E4200"/>
    <w:rsid w:val="001E4590"/>
    <w:rsid w:val="001E46F7"/>
    <w:rsid w:val="001E4995"/>
    <w:rsid w:val="001E4ECC"/>
    <w:rsid w:val="001E5692"/>
    <w:rsid w:val="001E5954"/>
    <w:rsid w:val="001E621C"/>
    <w:rsid w:val="001E655A"/>
    <w:rsid w:val="001E6716"/>
    <w:rsid w:val="001E6C22"/>
    <w:rsid w:val="001E6CA1"/>
    <w:rsid w:val="001E70D3"/>
    <w:rsid w:val="001E7174"/>
    <w:rsid w:val="001E7F8C"/>
    <w:rsid w:val="001F0058"/>
    <w:rsid w:val="001F061B"/>
    <w:rsid w:val="001F1671"/>
    <w:rsid w:val="001F1C67"/>
    <w:rsid w:val="001F21B1"/>
    <w:rsid w:val="001F25B8"/>
    <w:rsid w:val="001F28E1"/>
    <w:rsid w:val="001F2D03"/>
    <w:rsid w:val="001F2E9D"/>
    <w:rsid w:val="001F328F"/>
    <w:rsid w:val="001F3885"/>
    <w:rsid w:val="001F3D2F"/>
    <w:rsid w:val="001F46A1"/>
    <w:rsid w:val="001F4BDD"/>
    <w:rsid w:val="001F52AC"/>
    <w:rsid w:val="001F630A"/>
    <w:rsid w:val="001F65DB"/>
    <w:rsid w:val="001F670C"/>
    <w:rsid w:val="001F671A"/>
    <w:rsid w:val="001F6BEC"/>
    <w:rsid w:val="001F7253"/>
    <w:rsid w:val="001F75C7"/>
    <w:rsid w:val="001F780E"/>
    <w:rsid w:val="001F7881"/>
    <w:rsid w:val="002002EF"/>
    <w:rsid w:val="00200548"/>
    <w:rsid w:val="002005BC"/>
    <w:rsid w:val="002006CB"/>
    <w:rsid w:val="00200757"/>
    <w:rsid w:val="002009EC"/>
    <w:rsid w:val="00200D39"/>
    <w:rsid w:val="00200F18"/>
    <w:rsid w:val="00201012"/>
    <w:rsid w:val="00201027"/>
    <w:rsid w:val="002016BC"/>
    <w:rsid w:val="00201EF7"/>
    <w:rsid w:val="00202284"/>
    <w:rsid w:val="00202565"/>
    <w:rsid w:val="00203364"/>
    <w:rsid w:val="00203DBD"/>
    <w:rsid w:val="00204008"/>
    <w:rsid w:val="0020405C"/>
    <w:rsid w:val="002041C1"/>
    <w:rsid w:val="00205078"/>
    <w:rsid w:val="00205182"/>
    <w:rsid w:val="00205376"/>
    <w:rsid w:val="002053F4"/>
    <w:rsid w:val="00205E59"/>
    <w:rsid w:val="00206744"/>
    <w:rsid w:val="00206880"/>
    <w:rsid w:val="00206A92"/>
    <w:rsid w:val="00206D6D"/>
    <w:rsid w:val="00206E93"/>
    <w:rsid w:val="002072B8"/>
    <w:rsid w:val="00207454"/>
    <w:rsid w:val="00207469"/>
    <w:rsid w:val="00207BC4"/>
    <w:rsid w:val="00207D35"/>
    <w:rsid w:val="002108AC"/>
    <w:rsid w:val="002111E7"/>
    <w:rsid w:val="00211530"/>
    <w:rsid w:val="002119A5"/>
    <w:rsid w:val="00211B4D"/>
    <w:rsid w:val="0021212D"/>
    <w:rsid w:val="00212904"/>
    <w:rsid w:val="002132D8"/>
    <w:rsid w:val="002134F2"/>
    <w:rsid w:val="00213770"/>
    <w:rsid w:val="002142C5"/>
    <w:rsid w:val="002146E6"/>
    <w:rsid w:val="00215712"/>
    <w:rsid w:val="002167B8"/>
    <w:rsid w:val="0021698A"/>
    <w:rsid w:val="00216D63"/>
    <w:rsid w:val="002170FF"/>
    <w:rsid w:val="00217133"/>
    <w:rsid w:val="002171D4"/>
    <w:rsid w:val="0021729B"/>
    <w:rsid w:val="00217601"/>
    <w:rsid w:val="002177FC"/>
    <w:rsid w:val="00217937"/>
    <w:rsid w:val="0022147F"/>
    <w:rsid w:val="00221622"/>
    <w:rsid w:val="00221624"/>
    <w:rsid w:val="00221F56"/>
    <w:rsid w:val="00221F7A"/>
    <w:rsid w:val="00221FC3"/>
    <w:rsid w:val="002221D6"/>
    <w:rsid w:val="00222ABC"/>
    <w:rsid w:val="00222E9A"/>
    <w:rsid w:val="002236AD"/>
    <w:rsid w:val="00223F0E"/>
    <w:rsid w:val="00224B12"/>
    <w:rsid w:val="00224B8F"/>
    <w:rsid w:val="00224EB5"/>
    <w:rsid w:val="00225298"/>
    <w:rsid w:val="00225AA4"/>
    <w:rsid w:val="00226A26"/>
    <w:rsid w:val="00226B97"/>
    <w:rsid w:val="00226BEF"/>
    <w:rsid w:val="00227138"/>
    <w:rsid w:val="00227203"/>
    <w:rsid w:val="002274BC"/>
    <w:rsid w:val="002274D0"/>
    <w:rsid w:val="002274EB"/>
    <w:rsid w:val="002305B7"/>
    <w:rsid w:val="0023069D"/>
    <w:rsid w:val="00230803"/>
    <w:rsid w:val="00230ABC"/>
    <w:rsid w:val="00230D63"/>
    <w:rsid w:val="00230E16"/>
    <w:rsid w:val="00230F8A"/>
    <w:rsid w:val="0023109C"/>
    <w:rsid w:val="002311F9"/>
    <w:rsid w:val="00231792"/>
    <w:rsid w:val="00231D45"/>
    <w:rsid w:val="00232792"/>
    <w:rsid w:val="00233563"/>
    <w:rsid w:val="0023386E"/>
    <w:rsid w:val="00233E16"/>
    <w:rsid w:val="00234014"/>
    <w:rsid w:val="0023404F"/>
    <w:rsid w:val="00234514"/>
    <w:rsid w:val="00234628"/>
    <w:rsid w:val="00234904"/>
    <w:rsid w:val="00234C55"/>
    <w:rsid w:val="00234C62"/>
    <w:rsid w:val="00234E89"/>
    <w:rsid w:val="00235288"/>
    <w:rsid w:val="002356F9"/>
    <w:rsid w:val="002357F9"/>
    <w:rsid w:val="00235F33"/>
    <w:rsid w:val="00235F49"/>
    <w:rsid w:val="00236173"/>
    <w:rsid w:val="00236549"/>
    <w:rsid w:val="00236ADA"/>
    <w:rsid w:val="00236D02"/>
    <w:rsid w:val="00236E15"/>
    <w:rsid w:val="0023747F"/>
    <w:rsid w:val="00237AEA"/>
    <w:rsid w:val="0024034E"/>
    <w:rsid w:val="00240BD3"/>
    <w:rsid w:val="00241180"/>
    <w:rsid w:val="00241702"/>
    <w:rsid w:val="00241A13"/>
    <w:rsid w:val="00241EED"/>
    <w:rsid w:val="0024242B"/>
    <w:rsid w:val="00242430"/>
    <w:rsid w:val="00243590"/>
    <w:rsid w:val="00243E25"/>
    <w:rsid w:val="002448B5"/>
    <w:rsid w:val="00244CC5"/>
    <w:rsid w:val="00245342"/>
    <w:rsid w:val="00245537"/>
    <w:rsid w:val="00245DB4"/>
    <w:rsid w:val="00246A0A"/>
    <w:rsid w:val="00246A3D"/>
    <w:rsid w:val="00246A67"/>
    <w:rsid w:val="00246CAE"/>
    <w:rsid w:val="00246FED"/>
    <w:rsid w:val="00247076"/>
    <w:rsid w:val="002470C8"/>
    <w:rsid w:val="00247110"/>
    <w:rsid w:val="00247417"/>
    <w:rsid w:val="00247EFE"/>
    <w:rsid w:val="00250445"/>
    <w:rsid w:val="002506E9"/>
    <w:rsid w:val="0025089D"/>
    <w:rsid w:val="00250BAF"/>
    <w:rsid w:val="00250D89"/>
    <w:rsid w:val="00251287"/>
    <w:rsid w:val="002514C7"/>
    <w:rsid w:val="002523C2"/>
    <w:rsid w:val="00252541"/>
    <w:rsid w:val="002525D6"/>
    <w:rsid w:val="00252711"/>
    <w:rsid w:val="00252D5B"/>
    <w:rsid w:val="002533F1"/>
    <w:rsid w:val="0025341D"/>
    <w:rsid w:val="0025378B"/>
    <w:rsid w:val="00253832"/>
    <w:rsid w:val="00253DDA"/>
    <w:rsid w:val="00253DF7"/>
    <w:rsid w:val="00253EE8"/>
    <w:rsid w:val="0025419A"/>
    <w:rsid w:val="00254243"/>
    <w:rsid w:val="00254252"/>
    <w:rsid w:val="002552DF"/>
    <w:rsid w:val="00255417"/>
    <w:rsid w:val="0025546A"/>
    <w:rsid w:val="00255E89"/>
    <w:rsid w:val="0025624F"/>
    <w:rsid w:val="00256D36"/>
    <w:rsid w:val="00256D70"/>
    <w:rsid w:val="00256F12"/>
    <w:rsid w:val="002572C9"/>
    <w:rsid w:val="00257895"/>
    <w:rsid w:val="00257A77"/>
    <w:rsid w:val="00257D26"/>
    <w:rsid w:val="00257F71"/>
    <w:rsid w:val="002606AD"/>
    <w:rsid w:val="00260922"/>
    <w:rsid w:val="002609CB"/>
    <w:rsid w:val="00260D92"/>
    <w:rsid w:val="00261473"/>
    <w:rsid w:val="0026154A"/>
    <w:rsid w:val="0026168A"/>
    <w:rsid w:val="00261973"/>
    <w:rsid w:val="00261C5B"/>
    <w:rsid w:val="002621C2"/>
    <w:rsid w:val="002624B3"/>
    <w:rsid w:val="0026296F"/>
    <w:rsid w:val="002629EC"/>
    <w:rsid w:val="00262F9D"/>
    <w:rsid w:val="00263D57"/>
    <w:rsid w:val="00264397"/>
    <w:rsid w:val="00264B2E"/>
    <w:rsid w:val="00264F09"/>
    <w:rsid w:val="00265138"/>
    <w:rsid w:val="00265BB7"/>
    <w:rsid w:val="00265D55"/>
    <w:rsid w:val="00265EE6"/>
    <w:rsid w:val="00266210"/>
    <w:rsid w:val="00266460"/>
    <w:rsid w:val="00266721"/>
    <w:rsid w:val="002669B6"/>
    <w:rsid w:val="00266B93"/>
    <w:rsid w:val="002671DF"/>
    <w:rsid w:val="00267349"/>
    <w:rsid w:val="0026752B"/>
    <w:rsid w:val="00267C97"/>
    <w:rsid w:val="00267F2E"/>
    <w:rsid w:val="002704AC"/>
    <w:rsid w:val="0027069D"/>
    <w:rsid w:val="002708D4"/>
    <w:rsid w:val="00270958"/>
    <w:rsid w:val="00270C39"/>
    <w:rsid w:val="0027121B"/>
    <w:rsid w:val="002712BB"/>
    <w:rsid w:val="00271441"/>
    <w:rsid w:val="002715A8"/>
    <w:rsid w:val="00272173"/>
    <w:rsid w:val="00272266"/>
    <w:rsid w:val="002727D4"/>
    <w:rsid w:val="00272824"/>
    <w:rsid w:val="002737EA"/>
    <w:rsid w:val="00273DA9"/>
    <w:rsid w:val="00275BD9"/>
    <w:rsid w:val="00275C13"/>
    <w:rsid w:val="00275DF1"/>
    <w:rsid w:val="002763E8"/>
    <w:rsid w:val="00276930"/>
    <w:rsid w:val="00276E05"/>
    <w:rsid w:val="0027707E"/>
    <w:rsid w:val="0027711C"/>
    <w:rsid w:val="00277A6B"/>
    <w:rsid w:val="00277B5E"/>
    <w:rsid w:val="00277B82"/>
    <w:rsid w:val="00280265"/>
    <w:rsid w:val="002804A5"/>
    <w:rsid w:val="0028097D"/>
    <w:rsid w:val="00280B5B"/>
    <w:rsid w:val="00280D94"/>
    <w:rsid w:val="00281114"/>
    <w:rsid w:val="0028197E"/>
    <w:rsid w:val="00281BDB"/>
    <w:rsid w:val="0028256D"/>
    <w:rsid w:val="002826DD"/>
    <w:rsid w:val="0028278D"/>
    <w:rsid w:val="00282A8A"/>
    <w:rsid w:val="00282BCA"/>
    <w:rsid w:val="00283479"/>
    <w:rsid w:val="00283A17"/>
    <w:rsid w:val="00283ECC"/>
    <w:rsid w:val="00283F89"/>
    <w:rsid w:val="00284589"/>
    <w:rsid w:val="00284D3A"/>
    <w:rsid w:val="00284E8A"/>
    <w:rsid w:val="00285317"/>
    <w:rsid w:val="002862FA"/>
    <w:rsid w:val="00286D5D"/>
    <w:rsid w:val="00286FCC"/>
    <w:rsid w:val="0028750B"/>
    <w:rsid w:val="00287951"/>
    <w:rsid w:val="00287C7A"/>
    <w:rsid w:val="00290068"/>
    <w:rsid w:val="0029028E"/>
    <w:rsid w:val="002903E5"/>
    <w:rsid w:val="002907C7"/>
    <w:rsid w:val="002909B8"/>
    <w:rsid w:val="00290AEA"/>
    <w:rsid w:val="00290B17"/>
    <w:rsid w:val="00290B3F"/>
    <w:rsid w:val="00291142"/>
    <w:rsid w:val="002912A8"/>
    <w:rsid w:val="002916DF"/>
    <w:rsid w:val="002917FF"/>
    <w:rsid w:val="00291BF1"/>
    <w:rsid w:val="00291D7D"/>
    <w:rsid w:val="00292154"/>
    <w:rsid w:val="0029225D"/>
    <w:rsid w:val="0029226E"/>
    <w:rsid w:val="0029289C"/>
    <w:rsid w:val="002929EE"/>
    <w:rsid w:val="00292D4F"/>
    <w:rsid w:val="00293A46"/>
    <w:rsid w:val="00294A01"/>
    <w:rsid w:val="00294AAC"/>
    <w:rsid w:val="002954A8"/>
    <w:rsid w:val="00295789"/>
    <w:rsid w:val="00295B7D"/>
    <w:rsid w:val="00296206"/>
    <w:rsid w:val="00296725"/>
    <w:rsid w:val="002974CC"/>
    <w:rsid w:val="0029758C"/>
    <w:rsid w:val="00297BFC"/>
    <w:rsid w:val="00297D72"/>
    <w:rsid w:val="00297EFC"/>
    <w:rsid w:val="002A00C6"/>
    <w:rsid w:val="002A03F9"/>
    <w:rsid w:val="002A137B"/>
    <w:rsid w:val="002A15EF"/>
    <w:rsid w:val="002A16E3"/>
    <w:rsid w:val="002A17E2"/>
    <w:rsid w:val="002A1C16"/>
    <w:rsid w:val="002A2182"/>
    <w:rsid w:val="002A2277"/>
    <w:rsid w:val="002A2467"/>
    <w:rsid w:val="002A2B0D"/>
    <w:rsid w:val="002A309C"/>
    <w:rsid w:val="002A3323"/>
    <w:rsid w:val="002A355B"/>
    <w:rsid w:val="002A3FF2"/>
    <w:rsid w:val="002A4305"/>
    <w:rsid w:val="002A47F6"/>
    <w:rsid w:val="002A486B"/>
    <w:rsid w:val="002A4977"/>
    <w:rsid w:val="002A4C4A"/>
    <w:rsid w:val="002A4FF5"/>
    <w:rsid w:val="002A5CFA"/>
    <w:rsid w:val="002A5E9C"/>
    <w:rsid w:val="002A5F37"/>
    <w:rsid w:val="002A74B9"/>
    <w:rsid w:val="002A750B"/>
    <w:rsid w:val="002A76EA"/>
    <w:rsid w:val="002B0818"/>
    <w:rsid w:val="002B1002"/>
    <w:rsid w:val="002B1D21"/>
    <w:rsid w:val="002B218D"/>
    <w:rsid w:val="002B263F"/>
    <w:rsid w:val="002B2D0F"/>
    <w:rsid w:val="002B34DC"/>
    <w:rsid w:val="002B3633"/>
    <w:rsid w:val="002B3F03"/>
    <w:rsid w:val="002B45C6"/>
    <w:rsid w:val="002B4833"/>
    <w:rsid w:val="002B4C87"/>
    <w:rsid w:val="002B519A"/>
    <w:rsid w:val="002B566B"/>
    <w:rsid w:val="002B5B88"/>
    <w:rsid w:val="002B5E1D"/>
    <w:rsid w:val="002B60E9"/>
    <w:rsid w:val="002B610A"/>
    <w:rsid w:val="002B68CF"/>
    <w:rsid w:val="002B6CD9"/>
    <w:rsid w:val="002B70B3"/>
    <w:rsid w:val="002B7337"/>
    <w:rsid w:val="002B73C6"/>
    <w:rsid w:val="002C0012"/>
    <w:rsid w:val="002C0209"/>
    <w:rsid w:val="002C03F6"/>
    <w:rsid w:val="002C1F84"/>
    <w:rsid w:val="002C3FDB"/>
    <w:rsid w:val="002C436D"/>
    <w:rsid w:val="002C4506"/>
    <w:rsid w:val="002C459C"/>
    <w:rsid w:val="002C4BC2"/>
    <w:rsid w:val="002C515F"/>
    <w:rsid w:val="002C533D"/>
    <w:rsid w:val="002C5537"/>
    <w:rsid w:val="002C602F"/>
    <w:rsid w:val="002C624F"/>
    <w:rsid w:val="002C629C"/>
    <w:rsid w:val="002C6711"/>
    <w:rsid w:val="002C6F9B"/>
    <w:rsid w:val="002C745D"/>
    <w:rsid w:val="002D004A"/>
    <w:rsid w:val="002D0CA2"/>
    <w:rsid w:val="002D0CC5"/>
    <w:rsid w:val="002D2F92"/>
    <w:rsid w:val="002D324A"/>
    <w:rsid w:val="002D32E6"/>
    <w:rsid w:val="002D34BC"/>
    <w:rsid w:val="002D3D29"/>
    <w:rsid w:val="002D426A"/>
    <w:rsid w:val="002D4365"/>
    <w:rsid w:val="002D4748"/>
    <w:rsid w:val="002D52FB"/>
    <w:rsid w:val="002D54D2"/>
    <w:rsid w:val="002D5982"/>
    <w:rsid w:val="002D5D40"/>
    <w:rsid w:val="002D5D51"/>
    <w:rsid w:val="002D5FDA"/>
    <w:rsid w:val="002D6074"/>
    <w:rsid w:val="002D63D3"/>
    <w:rsid w:val="002D6418"/>
    <w:rsid w:val="002D6776"/>
    <w:rsid w:val="002D68D3"/>
    <w:rsid w:val="002D68F2"/>
    <w:rsid w:val="002D6C5F"/>
    <w:rsid w:val="002D7A5C"/>
    <w:rsid w:val="002E0615"/>
    <w:rsid w:val="002E0BF8"/>
    <w:rsid w:val="002E1A2D"/>
    <w:rsid w:val="002E2042"/>
    <w:rsid w:val="002E21D6"/>
    <w:rsid w:val="002E22A1"/>
    <w:rsid w:val="002E23E7"/>
    <w:rsid w:val="002E2563"/>
    <w:rsid w:val="002E2D86"/>
    <w:rsid w:val="002E35BC"/>
    <w:rsid w:val="002E39A2"/>
    <w:rsid w:val="002E4085"/>
    <w:rsid w:val="002E42F6"/>
    <w:rsid w:val="002E4543"/>
    <w:rsid w:val="002E4C4B"/>
    <w:rsid w:val="002E4EB2"/>
    <w:rsid w:val="002E4F2C"/>
    <w:rsid w:val="002E511B"/>
    <w:rsid w:val="002E569A"/>
    <w:rsid w:val="002E5AFD"/>
    <w:rsid w:val="002E6257"/>
    <w:rsid w:val="002E6596"/>
    <w:rsid w:val="002E66F6"/>
    <w:rsid w:val="002E68D2"/>
    <w:rsid w:val="002E6B89"/>
    <w:rsid w:val="002E769C"/>
    <w:rsid w:val="002F053D"/>
    <w:rsid w:val="002F0710"/>
    <w:rsid w:val="002F0757"/>
    <w:rsid w:val="002F0864"/>
    <w:rsid w:val="002F094F"/>
    <w:rsid w:val="002F0B1D"/>
    <w:rsid w:val="002F0B7D"/>
    <w:rsid w:val="002F0BB8"/>
    <w:rsid w:val="002F132C"/>
    <w:rsid w:val="002F1B4C"/>
    <w:rsid w:val="002F1DAA"/>
    <w:rsid w:val="002F1DC5"/>
    <w:rsid w:val="002F21B0"/>
    <w:rsid w:val="002F21C5"/>
    <w:rsid w:val="002F22CB"/>
    <w:rsid w:val="002F2747"/>
    <w:rsid w:val="002F2D5D"/>
    <w:rsid w:val="002F31DC"/>
    <w:rsid w:val="002F32E8"/>
    <w:rsid w:val="002F367B"/>
    <w:rsid w:val="002F38E3"/>
    <w:rsid w:val="002F3A75"/>
    <w:rsid w:val="002F401B"/>
    <w:rsid w:val="002F44AE"/>
    <w:rsid w:val="002F45D2"/>
    <w:rsid w:val="002F493B"/>
    <w:rsid w:val="002F4A2B"/>
    <w:rsid w:val="002F5C0A"/>
    <w:rsid w:val="002F5CB6"/>
    <w:rsid w:val="002F5FA2"/>
    <w:rsid w:val="002F5FD9"/>
    <w:rsid w:val="002F63FE"/>
    <w:rsid w:val="002F6445"/>
    <w:rsid w:val="002F6B20"/>
    <w:rsid w:val="002F6D6A"/>
    <w:rsid w:val="002F7016"/>
    <w:rsid w:val="002F70CE"/>
    <w:rsid w:val="002F744B"/>
    <w:rsid w:val="002F7A15"/>
    <w:rsid w:val="00301762"/>
    <w:rsid w:val="00301C3B"/>
    <w:rsid w:val="00301E24"/>
    <w:rsid w:val="00302DDE"/>
    <w:rsid w:val="0030326B"/>
    <w:rsid w:val="00303323"/>
    <w:rsid w:val="003034F6"/>
    <w:rsid w:val="003039AD"/>
    <w:rsid w:val="00304408"/>
    <w:rsid w:val="00304860"/>
    <w:rsid w:val="00305AA5"/>
    <w:rsid w:val="00305E87"/>
    <w:rsid w:val="003062E5"/>
    <w:rsid w:val="00306427"/>
    <w:rsid w:val="0030679D"/>
    <w:rsid w:val="00306AB6"/>
    <w:rsid w:val="00306FE4"/>
    <w:rsid w:val="00307081"/>
    <w:rsid w:val="00307B0C"/>
    <w:rsid w:val="003100AA"/>
    <w:rsid w:val="00310741"/>
    <w:rsid w:val="00310A8A"/>
    <w:rsid w:val="00310FC9"/>
    <w:rsid w:val="003113D6"/>
    <w:rsid w:val="00311805"/>
    <w:rsid w:val="003119A9"/>
    <w:rsid w:val="00313F82"/>
    <w:rsid w:val="003146EB"/>
    <w:rsid w:val="00314870"/>
    <w:rsid w:val="00315C3D"/>
    <w:rsid w:val="00315CB4"/>
    <w:rsid w:val="00315ECC"/>
    <w:rsid w:val="00316124"/>
    <w:rsid w:val="00316376"/>
    <w:rsid w:val="00316458"/>
    <w:rsid w:val="003164A0"/>
    <w:rsid w:val="00316971"/>
    <w:rsid w:val="00316FAA"/>
    <w:rsid w:val="00317325"/>
    <w:rsid w:val="0031780F"/>
    <w:rsid w:val="00317A32"/>
    <w:rsid w:val="00317BB5"/>
    <w:rsid w:val="00320295"/>
    <w:rsid w:val="0032114C"/>
    <w:rsid w:val="0032130D"/>
    <w:rsid w:val="00321ABA"/>
    <w:rsid w:val="00322495"/>
    <w:rsid w:val="00322DB0"/>
    <w:rsid w:val="0032347A"/>
    <w:rsid w:val="0032357A"/>
    <w:rsid w:val="0032358A"/>
    <w:rsid w:val="003243A1"/>
    <w:rsid w:val="003243D8"/>
    <w:rsid w:val="00324502"/>
    <w:rsid w:val="0032461B"/>
    <w:rsid w:val="00324C6D"/>
    <w:rsid w:val="00324CD5"/>
    <w:rsid w:val="00324F18"/>
    <w:rsid w:val="00325037"/>
    <w:rsid w:val="0032604A"/>
    <w:rsid w:val="0032634F"/>
    <w:rsid w:val="003263E6"/>
    <w:rsid w:val="00326AF1"/>
    <w:rsid w:val="00327741"/>
    <w:rsid w:val="00327AA3"/>
    <w:rsid w:val="003300DE"/>
    <w:rsid w:val="00330419"/>
    <w:rsid w:val="00330652"/>
    <w:rsid w:val="003307CC"/>
    <w:rsid w:val="00330965"/>
    <w:rsid w:val="00330F09"/>
    <w:rsid w:val="00331968"/>
    <w:rsid w:val="00331A80"/>
    <w:rsid w:val="00331C20"/>
    <w:rsid w:val="00331D0E"/>
    <w:rsid w:val="00331DFE"/>
    <w:rsid w:val="00332439"/>
    <w:rsid w:val="00332615"/>
    <w:rsid w:val="003327D8"/>
    <w:rsid w:val="00332D19"/>
    <w:rsid w:val="00332D2E"/>
    <w:rsid w:val="00332EC5"/>
    <w:rsid w:val="00333193"/>
    <w:rsid w:val="0033353B"/>
    <w:rsid w:val="00333B97"/>
    <w:rsid w:val="0033416C"/>
    <w:rsid w:val="00334A57"/>
    <w:rsid w:val="00334A71"/>
    <w:rsid w:val="003350AF"/>
    <w:rsid w:val="0033519E"/>
    <w:rsid w:val="00335362"/>
    <w:rsid w:val="00336CDC"/>
    <w:rsid w:val="00337508"/>
    <w:rsid w:val="00337F05"/>
    <w:rsid w:val="003405BE"/>
    <w:rsid w:val="003428AF"/>
    <w:rsid w:val="003428D2"/>
    <w:rsid w:val="00342A7E"/>
    <w:rsid w:val="00342C78"/>
    <w:rsid w:val="00342D96"/>
    <w:rsid w:val="00343217"/>
    <w:rsid w:val="003438F6"/>
    <w:rsid w:val="00343A5F"/>
    <w:rsid w:val="00343BC4"/>
    <w:rsid w:val="00343D41"/>
    <w:rsid w:val="003441E2"/>
    <w:rsid w:val="00344224"/>
    <w:rsid w:val="00344951"/>
    <w:rsid w:val="00344E08"/>
    <w:rsid w:val="00345135"/>
    <w:rsid w:val="00345740"/>
    <w:rsid w:val="003457EC"/>
    <w:rsid w:val="00345BA1"/>
    <w:rsid w:val="003470C2"/>
    <w:rsid w:val="00347756"/>
    <w:rsid w:val="003477FC"/>
    <w:rsid w:val="003502DB"/>
    <w:rsid w:val="00350896"/>
    <w:rsid w:val="0035165E"/>
    <w:rsid w:val="003517A1"/>
    <w:rsid w:val="00352461"/>
    <w:rsid w:val="00352738"/>
    <w:rsid w:val="00352D4D"/>
    <w:rsid w:val="00352F34"/>
    <w:rsid w:val="00353405"/>
    <w:rsid w:val="00353DAE"/>
    <w:rsid w:val="00353EBB"/>
    <w:rsid w:val="00354028"/>
    <w:rsid w:val="003544CF"/>
    <w:rsid w:val="003544EC"/>
    <w:rsid w:val="003549E2"/>
    <w:rsid w:val="00355E7A"/>
    <w:rsid w:val="00355EB0"/>
    <w:rsid w:val="00356258"/>
    <w:rsid w:val="003567B5"/>
    <w:rsid w:val="00356AB3"/>
    <w:rsid w:val="00356C58"/>
    <w:rsid w:val="00356EAC"/>
    <w:rsid w:val="00357549"/>
    <w:rsid w:val="00357644"/>
    <w:rsid w:val="003577B3"/>
    <w:rsid w:val="003600B3"/>
    <w:rsid w:val="003604C1"/>
    <w:rsid w:val="003606CB"/>
    <w:rsid w:val="003606D6"/>
    <w:rsid w:val="00361231"/>
    <w:rsid w:val="00361ECD"/>
    <w:rsid w:val="00362663"/>
    <w:rsid w:val="00362BF4"/>
    <w:rsid w:val="00362D5C"/>
    <w:rsid w:val="0036361D"/>
    <w:rsid w:val="00363BBA"/>
    <w:rsid w:val="00364DF9"/>
    <w:rsid w:val="00365B4E"/>
    <w:rsid w:val="00365C14"/>
    <w:rsid w:val="00365ED1"/>
    <w:rsid w:val="00365F67"/>
    <w:rsid w:val="003661F0"/>
    <w:rsid w:val="0036653E"/>
    <w:rsid w:val="00366B9D"/>
    <w:rsid w:val="00366BAF"/>
    <w:rsid w:val="003670CD"/>
    <w:rsid w:val="003671A6"/>
    <w:rsid w:val="003671EB"/>
    <w:rsid w:val="003702EB"/>
    <w:rsid w:val="00370394"/>
    <w:rsid w:val="003704F5"/>
    <w:rsid w:val="0037073D"/>
    <w:rsid w:val="003713FC"/>
    <w:rsid w:val="003714D9"/>
    <w:rsid w:val="003717AC"/>
    <w:rsid w:val="003718E0"/>
    <w:rsid w:val="00371BF0"/>
    <w:rsid w:val="00372665"/>
    <w:rsid w:val="00372E4B"/>
    <w:rsid w:val="00373046"/>
    <w:rsid w:val="0037343F"/>
    <w:rsid w:val="003739E0"/>
    <w:rsid w:val="00373B7F"/>
    <w:rsid w:val="00373E93"/>
    <w:rsid w:val="00373F9E"/>
    <w:rsid w:val="003740AA"/>
    <w:rsid w:val="00374A2B"/>
    <w:rsid w:val="00374CC9"/>
    <w:rsid w:val="0037513F"/>
    <w:rsid w:val="00375269"/>
    <w:rsid w:val="00375867"/>
    <w:rsid w:val="003763AF"/>
    <w:rsid w:val="003767B4"/>
    <w:rsid w:val="003767C8"/>
    <w:rsid w:val="003769FC"/>
    <w:rsid w:val="00377023"/>
    <w:rsid w:val="003774E2"/>
    <w:rsid w:val="00377666"/>
    <w:rsid w:val="0037780E"/>
    <w:rsid w:val="00377CA2"/>
    <w:rsid w:val="00377DF2"/>
    <w:rsid w:val="00377ED5"/>
    <w:rsid w:val="00380106"/>
    <w:rsid w:val="00380341"/>
    <w:rsid w:val="003803FE"/>
    <w:rsid w:val="00380B1F"/>
    <w:rsid w:val="00380DFD"/>
    <w:rsid w:val="00380E62"/>
    <w:rsid w:val="00381E7E"/>
    <w:rsid w:val="00381E94"/>
    <w:rsid w:val="003821A2"/>
    <w:rsid w:val="003828C9"/>
    <w:rsid w:val="003829E9"/>
    <w:rsid w:val="00382D49"/>
    <w:rsid w:val="003834BB"/>
    <w:rsid w:val="00383609"/>
    <w:rsid w:val="0038470F"/>
    <w:rsid w:val="00385452"/>
    <w:rsid w:val="00386235"/>
    <w:rsid w:val="0038624A"/>
    <w:rsid w:val="003868CD"/>
    <w:rsid w:val="00386BDF"/>
    <w:rsid w:val="00386C72"/>
    <w:rsid w:val="003873EB"/>
    <w:rsid w:val="00387A8B"/>
    <w:rsid w:val="00387DD4"/>
    <w:rsid w:val="00387F9F"/>
    <w:rsid w:val="00390887"/>
    <w:rsid w:val="003908CB"/>
    <w:rsid w:val="00390AE7"/>
    <w:rsid w:val="00390C92"/>
    <w:rsid w:val="00390F8E"/>
    <w:rsid w:val="003916A0"/>
    <w:rsid w:val="003917B1"/>
    <w:rsid w:val="00391B0E"/>
    <w:rsid w:val="00391D37"/>
    <w:rsid w:val="00392135"/>
    <w:rsid w:val="0039279A"/>
    <w:rsid w:val="003938FC"/>
    <w:rsid w:val="00394BEB"/>
    <w:rsid w:val="00394FFF"/>
    <w:rsid w:val="00395233"/>
    <w:rsid w:val="00395DB0"/>
    <w:rsid w:val="00395EE3"/>
    <w:rsid w:val="003965B3"/>
    <w:rsid w:val="0039678C"/>
    <w:rsid w:val="003967A7"/>
    <w:rsid w:val="003967AE"/>
    <w:rsid w:val="0039689D"/>
    <w:rsid w:val="0039727B"/>
    <w:rsid w:val="00397543"/>
    <w:rsid w:val="00397843"/>
    <w:rsid w:val="00397AAB"/>
    <w:rsid w:val="003A0191"/>
    <w:rsid w:val="003A0706"/>
    <w:rsid w:val="003A1090"/>
    <w:rsid w:val="003A130A"/>
    <w:rsid w:val="003A157F"/>
    <w:rsid w:val="003A19BA"/>
    <w:rsid w:val="003A1D5F"/>
    <w:rsid w:val="003A1FD2"/>
    <w:rsid w:val="003A271C"/>
    <w:rsid w:val="003A313C"/>
    <w:rsid w:val="003A3421"/>
    <w:rsid w:val="003A3564"/>
    <w:rsid w:val="003A3CCB"/>
    <w:rsid w:val="003A3DD7"/>
    <w:rsid w:val="003A4A17"/>
    <w:rsid w:val="003A5131"/>
    <w:rsid w:val="003A5A35"/>
    <w:rsid w:val="003A5A89"/>
    <w:rsid w:val="003A5BB9"/>
    <w:rsid w:val="003A5E37"/>
    <w:rsid w:val="003A6466"/>
    <w:rsid w:val="003A6558"/>
    <w:rsid w:val="003A688E"/>
    <w:rsid w:val="003A6F51"/>
    <w:rsid w:val="003A71DB"/>
    <w:rsid w:val="003A7390"/>
    <w:rsid w:val="003A7A81"/>
    <w:rsid w:val="003A7BE7"/>
    <w:rsid w:val="003A7D5F"/>
    <w:rsid w:val="003B04C7"/>
    <w:rsid w:val="003B05AA"/>
    <w:rsid w:val="003B069F"/>
    <w:rsid w:val="003B0747"/>
    <w:rsid w:val="003B106E"/>
    <w:rsid w:val="003B12F3"/>
    <w:rsid w:val="003B1878"/>
    <w:rsid w:val="003B1A44"/>
    <w:rsid w:val="003B22FE"/>
    <w:rsid w:val="003B2A84"/>
    <w:rsid w:val="003B2FC5"/>
    <w:rsid w:val="003B3032"/>
    <w:rsid w:val="003B39CF"/>
    <w:rsid w:val="003B3F8F"/>
    <w:rsid w:val="003B42FC"/>
    <w:rsid w:val="003B45B9"/>
    <w:rsid w:val="003B49DE"/>
    <w:rsid w:val="003B51CF"/>
    <w:rsid w:val="003B5226"/>
    <w:rsid w:val="003B55DA"/>
    <w:rsid w:val="003B5771"/>
    <w:rsid w:val="003B58A1"/>
    <w:rsid w:val="003B5AEB"/>
    <w:rsid w:val="003B5EF1"/>
    <w:rsid w:val="003B6229"/>
    <w:rsid w:val="003B6EF1"/>
    <w:rsid w:val="003B764F"/>
    <w:rsid w:val="003B773C"/>
    <w:rsid w:val="003B7A6E"/>
    <w:rsid w:val="003C085C"/>
    <w:rsid w:val="003C0A45"/>
    <w:rsid w:val="003C0D9A"/>
    <w:rsid w:val="003C0FAC"/>
    <w:rsid w:val="003C2829"/>
    <w:rsid w:val="003C3040"/>
    <w:rsid w:val="003C31B4"/>
    <w:rsid w:val="003C3770"/>
    <w:rsid w:val="003C3840"/>
    <w:rsid w:val="003C3C9A"/>
    <w:rsid w:val="003C3CCE"/>
    <w:rsid w:val="003C4096"/>
    <w:rsid w:val="003C45B8"/>
    <w:rsid w:val="003C54A6"/>
    <w:rsid w:val="003C5A77"/>
    <w:rsid w:val="003C5CC0"/>
    <w:rsid w:val="003C639C"/>
    <w:rsid w:val="003C6420"/>
    <w:rsid w:val="003C6AC8"/>
    <w:rsid w:val="003C705E"/>
    <w:rsid w:val="003C7352"/>
    <w:rsid w:val="003C74E5"/>
    <w:rsid w:val="003C7814"/>
    <w:rsid w:val="003C7F77"/>
    <w:rsid w:val="003D0188"/>
    <w:rsid w:val="003D059B"/>
    <w:rsid w:val="003D08A0"/>
    <w:rsid w:val="003D0A87"/>
    <w:rsid w:val="003D0AB4"/>
    <w:rsid w:val="003D1319"/>
    <w:rsid w:val="003D1FCB"/>
    <w:rsid w:val="003D22B7"/>
    <w:rsid w:val="003D243E"/>
    <w:rsid w:val="003D2E66"/>
    <w:rsid w:val="003D2F14"/>
    <w:rsid w:val="003D378D"/>
    <w:rsid w:val="003D3F16"/>
    <w:rsid w:val="003D400A"/>
    <w:rsid w:val="003D408D"/>
    <w:rsid w:val="003D41EF"/>
    <w:rsid w:val="003D4778"/>
    <w:rsid w:val="003D4786"/>
    <w:rsid w:val="003D4EFD"/>
    <w:rsid w:val="003D4F83"/>
    <w:rsid w:val="003D50CC"/>
    <w:rsid w:val="003D5222"/>
    <w:rsid w:val="003D5466"/>
    <w:rsid w:val="003D58FC"/>
    <w:rsid w:val="003D5D1E"/>
    <w:rsid w:val="003D6017"/>
    <w:rsid w:val="003D6EA1"/>
    <w:rsid w:val="003D6F0B"/>
    <w:rsid w:val="003D6F1B"/>
    <w:rsid w:val="003D71AA"/>
    <w:rsid w:val="003D72C0"/>
    <w:rsid w:val="003D7536"/>
    <w:rsid w:val="003D7CCB"/>
    <w:rsid w:val="003D7D54"/>
    <w:rsid w:val="003E187A"/>
    <w:rsid w:val="003E1D03"/>
    <w:rsid w:val="003E27DF"/>
    <w:rsid w:val="003E2A5D"/>
    <w:rsid w:val="003E308E"/>
    <w:rsid w:val="003E3EF2"/>
    <w:rsid w:val="003E40F7"/>
    <w:rsid w:val="003E437A"/>
    <w:rsid w:val="003E44F2"/>
    <w:rsid w:val="003E4810"/>
    <w:rsid w:val="003E48EE"/>
    <w:rsid w:val="003E4F12"/>
    <w:rsid w:val="003E5346"/>
    <w:rsid w:val="003E54B1"/>
    <w:rsid w:val="003E5BD7"/>
    <w:rsid w:val="003E6023"/>
    <w:rsid w:val="003E632E"/>
    <w:rsid w:val="003E6B97"/>
    <w:rsid w:val="003E7076"/>
    <w:rsid w:val="003E7174"/>
    <w:rsid w:val="003E74D9"/>
    <w:rsid w:val="003E7EFF"/>
    <w:rsid w:val="003F0129"/>
    <w:rsid w:val="003F01A8"/>
    <w:rsid w:val="003F0365"/>
    <w:rsid w:val="003F0597"/>
    <w:rsid w:val="003F0A50"/>
    <w:rsid w:val="003F0BC6"/>
    <w:rsid w:val="003F0CB9"/>
    <w:rsid w:val="003F0ED6"/>
    <w:rsid w:val="003F0F07"/>
    <w:rsid w:val="003F14D8"/>
    <w:rsid w:val="003F15CE"/>
    <w:rsid w:val="003F1862"/>
    <w:rsid w:val="003F1B8B"/>
    <w:rsid w:val="003F2622"/>
    <w:rsid w:val="003F2E8F"/>
    <w:rsid w:val="003F3070"/>
    <w:rsid w:val="003F3394"/>
    <w:rsid w:val="003F3EB4"/>
    <w:rsid w:val="003F418B"/>
    <w:rsid w:val="003F43C6"/>
    <w:rsid w:val="003F47B4"/>
    <w:rsid w:val="003F529E"/>
    <w:rsid w:val="003F5449"/>
    <w:rsid w:val="003F59DC"/>
    <w:rsid w:val="003F5B6F"/>
    <w:rsid w:val="003F5C0E"/>
    <w:rsid w:val="003F5D89"/>
    <w:rsid w:val="003F6232"/>
    <w:rsid w:val="003F63D6"/>
    <w:rsid w:val="003F6411"/>
    <w:rsid w:val="003F6671"/>
    <w:rsid w:val="003F6722"/>
    <w:rsid w:val="003F7089"/>
    <w:rsid w:val="004002AB"/>
    <w:rsid w:val="004005F5"/>
    <w:rsid w:val="00401068"/>
    <w:rsid w:val="00401F18"/>
    <w:rsid w:val="0040232C"/>
    <w:rsid w:val="004026DE"/>
    <w:rsid w:val="00402C92"/>
    <w:rsid w:val="00402F4A"/>
    <w:rsid w:val="00403420"/>
    <w:rsid w:val="004038E7"/>
    <w:rsid w:val="00403930"/>
    <w:rsid w:val="00404379"/>
    <w:rsid w:val="00404498"/>
    <w:rsid w:val="004044D6"/>
    <w:rsid w:val="00404A79"/>
    <w:rsid w:val="00404F04"/>
    <w:rsid w:val="0040545A"/>
    <w:rsid w:val="00405ECA"/>
    <w:rsid w:val="00406072"/>
    <w:rsid w:val="00406596"/>
    <w:rsid w:val="0040661F"/>
    <w:rsid w:val="00406AF3"/>
    <w:rsid w:val="00406F88"/>
    <w:rsid w:val="00407142"/>
    <w:rsid w:val="00407504"/>
    <w:rsid w:val="00410351"/>
    <w:rsid w:val="00410485"/>
    <w:rsid w:val="00410B8D"/>
    <w:rsid w:val="00411100"/>
    <w:rsid w:val="004113A1"/>
    <w:rsid w:val="00411ED7"/>
    <w:rsid w:val="0041211A"/>
    <w:rsid w:val="0041258C"/>
    <w:rsid w:val="00412607"/>
    <w:rsid w:val="004129F7"/>
    <w:rsid w:val="00412B76"/>
    <w:rsid w:val="00412BE1"/>
    <w:rsid w:val="00412D00"/>
    <w:rsid w:val="004131EA"/>
    <w:rsid w:val="00413A22"/>
    <w:rsid w:val="00413B18"/>
    <w:rsid w:val="004143B5"/>
    <w:rsid w:val="0041442E"/>
    <w:rsid w:val="00414A18"/>
    <w:rsid w:val="0041519C"/>
    <w:rsid w:val="00415590"/>
    <w:rsid w:val="00415C55"/>
    <w:rsid w:val="00415C5D"/>
    <w:rsid w:val="00415F12"/>
    <w:rsid w:val="00416A5D"/>
    <w:rsid w:val="00416BA5"/>
    <w:rsid w:val="00416CEF"/>
    <w:rsid w:val="00416F8B"/>
    <w:rsid w:val="004174F5"/>
    <w:rsid w:val="00417505"/>
    <w:rsid w:val="00417DE5"/>
    <w:rsid w:val="00417E36"/>
    <w:rsid w:val="004203D5"/>
    <w:rsid w:val="00421244"/>
    <w:rsid w:val="004212BC"/>
    <w:rsid w:val="00421697"/>
    <w:rsid w:val="004216A9"/>
    <w:rsid w:val="00422809"/>
    <w:rsid w:val="00422BE8"/>
    <w:rsid w:val="00423254"/>
    <w:rsid w:val="004233B7"/>
    <w:rsid w:val="004233E3"/>
    <w:rsid w:val="00423757"/>
    <w:rsid w:val="00423B2E"/>
    <w:rsid w:val="00423EBE"/>
    <w:rsid w:val="00423F11"/>
    <w:rsid w:val="00424108"/>
    <w:rsid w:val="00424D25"/>
    <w:rsid w:val="00424F1F"/>
    <w:rsid w:val="0042503B"/>
    <w:rsid w:val="00425AB3"/>
    <w:rsid w:val="00426236"/>
    <w:rsid w:val="00426A99"/>
    <w:rsid w:val="00426E10"/>
    <w:rsid w:val="00426EE0"/>
    <w:rsid w:val="004273A7"/>
    <w:rsid w:val="0042750C"/>
    <w:rsid w:val="0042756F"/>
    <w:rsid w:val="0042796B"/>
    <w:rsid w:val="00430485"/>
    <w:rsid w:val="004308BB"/>
    <w:rsid w:val="004311D7"/>
    <w:rsid w:val="0043134C"/>
    <w:rsid w:val="00431358"/>
    <w:rsid w:val="00431392"/>
    <w:rsid w:val="0043141C"/>
    <w:rsid w:val="004314F2"/>
    <w:rsid w:val="00431E1C"/>
    <w:rsid w:val="00431F49"/>
    <w:rsid w:val="0043202B"/>
    <w:rsid w:val="0043212C"/>
    <w:rsid w:val="0043214A"/>
    <w:rsid w:val="00432804"/>
    <w:rsid w:val="0043306F"/>
    <w:rsid w:val="00433205"/>
    <w:rsid w:val="0043348E"/>
    <w:rsid w:val="004336D7"/>
    <w:rsid w:val="00433B4C"/>
    <w:rsid w:val="004343C0"/>
    <w:rsid w:val="0043466F"/>
    <w:rsid w:val="00435253"/>
    <w:rsid w:val="004357C7"/>
    <w:rsid w:val="004359E9"/>
    <w:rsid w:val="00435F77"/>
    <w:rsid w:val="0043696E"/>
    <w:rsid w:val="00436C24"/>
    <w:rsid w:val="0043714C"/>
    <w:rsid w:val="00437482"/>
    <w:rsid w:val="0043760B"/>
    <w:rsid w:val="00440051"/>
    <w:rsid w:val="0044005F"/>
    <w:rsid w:val="004405A8"/>
    <w:rsid w:val="00440636"/>
    <w:rsid w:val="0044140F"/>
    <w:rsid w:val="0044152C"/>
    <w:rsid w:val="00441640"/>
    <w:rsid w:val="00441D84"/>
    <w:rsid w:val="00442265"/>
    <w:rsid w:val="00442501"/>
    <w:rsid w:val="00442950"/>
    <w:rsid w:val="004432A9"/>
    <w:rsid w:val="0044352D"/>
    <w:rsid w:val="004438E8"/>
    <w:rsid w:val="00443FA8"/>
    <w:rsid w:val="00444159"/>
    <w:rsid w:val="00444295"/>
    <w:rsid w:val="004446A9"/>
    <w:rsid w:val="0044483B"/>
    <w:rsid w:val="00444E6B"/>
    <w:rsid w:val="004455DE"/>
    <w:rsid w:val="00445B13"/>
    <w:rsid w:val="00446137"/>
    <w:rsid w:val="00446ADC"/>
    <w:rsid w:val="00446C80"/>
    <w:rsid w:val="00446F38"/>
    <w:rsid w:val="004471E7"/>
    <w:rsid w:val="004472D6"/>
    <w:rsid w:val="004473A9"/>
    <w:rsid w:val="004477F7"/>
    <w:rsid w:val="00447B0D"/>
    <w:rsid w:val="00447C36"/>
    <w:rsid w:val="00447D1A"/>
    <w:rsid w:val="00447DAB"/>
    <w:rsid w:val="00450170"/>
    <w:rsid w:val="004501A9"/>
    <w:rsid w:val="00450316"/>
    <w:rsid w:val="00450F05"/>
    <w:rsid w:val="004510DF"/>
    <w:rsid w:val="0045125A"/>
    <w:rsid w:val="00451614"/>
    <w:rsid w:val="00451C5A"/>
    <w:rsid w:val="00452D98"/>
    <w:rsid w:val="0045453E"/>
    <w:rsid w:val="0045458B"/>
    <w:rsid w:val="004546D0"/>
    <w:rsid w:val="00454A6E"/>
    <w:rsid w:val="00454B35"/>
    <w:rsid w:val="00454E9F"/>
    <w:rsid w:val="00454EBD"/>
    <w:rsid w:val="00454FC4"/>
    <w:rsid w:val="0045524F"/>
    <w:rsid w:val="004556FB"/>
    <w:rsid w:val="00455FDB"/>
    <w:rsid w:val="004562D9"/>
    <w:rsid w:val="00456303"/>
    <w:rsid w:val="00456B8B"/>
    <w:rsid w:val="00456C4A"/>
    <w:rsid w:val="00456DE3"/>
    <w:rsid w:val="00457048"/>
    <w:rsid w:val="0045751D"/>
    <w:rsid w:val="00457672"/>
    <w:rsid w:val="00457DD5"/>
    <w:rsid w:val="004602B2"/>
    <w:rsid w:val="00460702"/>
    <w:rsid w:val="00461226"/>
    <w:rsid w:val="00461249"/>
    <w:rsid w:val="00461280"/>
    <w:rsid w:val="0046172A"/>
    <w:rsid w:val="00461BBF"/>
    <w:rsid w:val="00461E9A"/>
    <w:rsid w:val="00462CF4"/>
    <w:rsid w:val="00463335"/>
    <w:rsid w:val="00463612"/>
    <w:rsid w:val="0046367D"/>
    <w:rsid w:val="00463C87"/>
    <w:rsid w:val="00463EB7"/>
    <w:rsid w:val="00464577"/>
    <w:rsid w:val="00464878"/>
    <w:rsid w:val="00464A5A"/>
    <w:rsid w:val="00464B04"/>
    <w:rsid w:val="00464EC9"/>
    <w:rsid w:val="004655CF"/>
    <w:rsid w:val="004658E3"/>
    <w:rsid w:val="00465BD9"/>
    <w:rsid w:val="004662AE"/>
    <w:rsid w:val="00466BBB"/>
    <w:rsid w:val="00466FDC"/>
    <w:rsid w:val="0046722C"/>
    <w:rsid w:val="00467380"/>
    <w:rsid w:val="004675D1"/>
    <w:rsid w:val="00467B49"/>
    <w:rsid w:val="0047019D"/>
    <w:rsid w:val="004702BE"/>
    <w:rsid w:val="004706C4"/>
    <w:rsid w:val="004706EB"/>
    <w:rsid w:val="00470B76"/>
    <w:rsid w:val="00470F1D"/>
    <w:rsid w:val="004710E3"/>
    <w:rsid w:val="00471512"/>
    <w:rsid w:val="0047195B"/>
    <w:rsid w:val="00471B1A"/>
    <w:rsid w:val="00471B20"/>
    <w:rsid w:val="00471D5D"/>
    <w:rsid w:val="0047238C"/>
    <w:rsid w:val="00472940"/>
    <w:rsid w:val="00473475"/>
    <w:rsid w:val="00473D36"/>
    <w:rsid w:val="00474799"/>
    <w:rsid w:val="00475002"/>
    <w:rsid w:val="00475306"/>
    <w:rsid w:val="004754B6"/>
    <w:rsid w:val="004756E5"/>
    <w:rsid w:val="00475EBC"/>
    <w:rsid w:val="004763BF"/>
    <w:rsid w:val="00477095"/>
    <w:rsid w:val="004775B5"/>
    <w:rsid w:val="00477D70"/>
    <w:rsid w:val="00477E2F"/>
    <w:rsid w:val="00477F85"/>
    <w:rsid w:val="00480096"/>
    <w:rsid w:val="004800F5"/>
    <w:rsid w:val="004802C1"/>
    <w:rsid w:val="004804E1"/>
    <w:rsid w:val="004808EA"/>
    <w:rsid w:val="00480B0D"/>
    <w:rsid w:val="00480B1A"/>
    <w:rsid w:val="00480C77"/>
    <w:rsid w:val="00480E4E"/>
    <w:rsid w:val="004811BE"/>
    <w:rsid w:val="004815B0"/>
    <w:rsid w:val="004815B8"/>
    <w:rsid w:val="00481787"/>
    <w:rsid w:val="00481FCD"/>
    <w:rsid w:val="004824D6"/>
    <w:rsid w:val="00482559"/>
    <w:rsid w:val="00483022"/>
    <w:rsid w:val="00483532"/>
    <w:rsid w:val="00483741"/>
    <w:rsid w:val="00483A97"/>
    <w:rsid w:val="00483B6F"/>
    <w:rsid w:val="00483DDD"/>
    <w:rsid w:val="004841E3"/>
    <w:rsid w:val="00484723"/>
    <w:rsid w:val="00484B5A"/>
    <w:rsid w:val="004855F5"/>
    <w:rsid w:val="00486445"/>
    <w:rsid w:val="0048681B"/>
    <w:rsid w:val="00486D36"/>
    <w:rsid w:val="004870D5"/>
    <w:rsid w:val="00487450"/>
    <w:rsid w:val="00487656"/>
    <w:rsid w:val="00487728"/>
    <w:rsid w:val="00487A8E"/>
    <w:rsid w:val="00487F27"/>
    <w:rsid w:val="00487F79"/>
    <w:rsid w:val="00490190"/>
    <w:rsid w:val="004901AC"/>
    <w:rsid w:val="004903C4"/>
    <w:rsid w:val="004906FA"/>
    <w:rsid w:val="00490791"/>
    <w:rsid w:val="00490ACC"/>
    <w:rsid w:val="00490CB3"/>
    <w:rsid w:val="00491F47"/>
    <w:rsid w:val="00492911"/>
    <w:rsid w:val="00493209"/>
    <w:rsid w:val="004937E6"/>
    <w:rsid w:val="00493A2D"/>
    <w:rsid w:val="004942F7"/>
    <w:rsid w:val="0049475A"/>
    <w:rsid w:val="0049527E"/>
    <w:rsid w:val="00495307"/>
    <w:rsid w:val="0049560E"/>
    <w:rsid w:val="004959A6"/>
    <w:rsid w:val="0049601A"/>
    <w:rsid w:val="00496FB4"/>
    <w:rsid w:val="00497799"/>
    <w:rsid w:val="004A04C4"/>
    <w:rsid w:val="004A07EC"/>
    <w:rsid w:val="004A0E2A"/>
    <w:rsid w:val="004A10FE"/>
    <w:rsid w:val="004A132D"/>
    <w:rsid w:val="004A135A"/>
    <w:rsid w:val="004A195C"/>
    <w:rsid w:val="004A1A14"/>
    <w:rsid w:val="004A1C91"/>
    <w:rsid w:val="004A2181"/>
    <w:rsid w:val="004A274C"/>
    <w:rsid w:val="004A291B"/>
    <w:rsid w:val="004A2A1E"/>
    <w:rsid w:val="004A2CFA"/>
    <w:rsid w:val="004A2DC3"/>
    <w:rsid w:val="004A3042"/>
    <w:rsid w:val="004A31A5"/>
    <w:rsid w:val="004A335D"/>
    <w:rsid w:val="004A34CF"/>
    <w:rsid w:val="004A39B9"/>
    <w:rsid w:val="004A3B07"/>
    <w:rsid w:val="004A4BF7"/>
    <w:rsid w:val="004A4D3B"/>
    <w:rsid w:val="004A5716"/>
    <w:rsid w:val="004A5D69"/>
    <w:rsid w:val="004A602C"/>
    <w:rsid w:val="004A6CB5"/>
    <w:rsid w:val="004A77A5"/>
    <w:rsid w:val="004A788D"/>
    <w:rsid w:val="004A78DE"/>
    <w:rsid w:val="004A7CCE"/>
    <w:rsid w:val="004B02C2"/>
    <w:rsid w:val="004B0D11"/>
    <w:rsid w:val="004B1413"/>
    <w:rsid w:val="004B1651"/>
    <w:rsid w:val="004B1C62"/>
    <w:rsid w:val="004B2665"/>
    <w:rsid w:val="004B2735"/>
    <w:rsid w:val="004B3182"/>
    <w:rsid w:val="004B349C"/>
    <w:rsid w:val="004B3C5A"/>
    <w:rsid w:val="004B3CA0"/>
    <w:rsid w:val="004B42E7"/>
    <w:rsid w:val="004B46F0"/>
    <w:rsid w:val="004B4876"/>
    <w:rsid w:val="004B552D"/>
    <w:rsid w:val="004B5CBB"/>
    <w:rsid w:val="004B5E30"/>
    <w:rsid w:val="004B6060"/>
    <w:rsid w:val="004B6CD4"/>
    <w:rsid w:val="004B6F19"/>
    <w:rsid w:val="004B6F56"/>
    <w:rsid w:val="004B7CF5"/>
    <w:rsid w:val="004C0232"/>
    <w:rsid w:val="004C12D5"/>
    <w:rsid w:val="004C15F2"/>
    <w:rsid w:val="004C1BD2"/>
    <w:rsid w:val="004C2444"/>
    <w:rsid w:val="004C2B38"/>
    <w:rsid w:val="004C2FFD"/>
    <w:rsid w:val="004C457B"/>
    <w:rsid w:val="004C466A"/>
    <w:rsid w:val="004C4FE1"/>
    <w:rsid w:val="004C5128"/>
    <w:rsid w:val="004C52EE"/>
    <w:rsid w:val="004C5544"/>
    <w:rsid w:val="004C5545"/>
    <w:rsid w:val="004C5868"/>
    <w:rsid w:val="004C5E99"/>
    <w:rsid w:val="004C603E"/>
    <w:rsid w:val="004C65EE"/>
    <w:rsid w:val="004C6A0A"/>
    <w:rsid w:val="004C6D48"/>
    <w:rsid w:val="004C714D"/>
    <w:rsid w:val="004C7748"/>
    <w:rsid w:val="004D0142"/>
    <w:rsid w:val="004D028D"/>
    <w:rsid w:val="004D0E24"/>
    <w:rsid w:val="004D17F9"/>
    <w:rsid w:val="004D19B1"/>
    <w:rsid w:val="004D25CF"/>
    <w:rsid w:val="004D2968"/>
    <w:rsid w:val="004D29EE"/>
    <w:rsid w:val="004D2B40"/>
    <w:rsid w:val="004D3804"/>
    <w:rsid w:val="004D38E9"/>
    <w:rsid w:val="004D3B4B"/>
    <w:rsid w:val="004D3C65"/>
    <w:rsid w:val="004D3CD5"/>
    <w:rsid w:val="004D4D63"/>
    <w:rsid w:val="004D5284"/>
    <w:rsid w:val="004D59DE"/>
    <w:rsid w:val="004D5B15"/>
    <w:rsid w:val="004D5CB2"/>
    <w:rsid w:val="004D62B6"/>
    <w:rsid w:val="004D63B3"/>
    <w:rsid w:val="004D655C"/>
    <w:rsid w:val="004D6858"/>
    <w:rsid w:val="004D70EC"/>
    <w:rsid w:val="004D7195"/>
    <w:rsid w:val="004D7F5E"/>
    <w:rsid w:val="004E05BD"/>
    <w:rsid w:val="004E087C"/>
    <w:rsid w:val="004E0D55"/>
    <w:rsid w:val="004E1278"/>
    <w:rsid w:val="004E186B"/>
    <w:rsid w:val="004E22DB"/>
    <w:rsid w:val="004E2B0B"/>
    <w:rsid w:val="004E2D68"/>
    <w:rsid w:val="004E39CF"/>
    <w:rsid w:val="004E3BAB"/>
    <w:rsid w:val="004E3C43"/>
    <w:rsid w:val="004E3ED3"/>
    <w:rsid w:val="004E433F"/>
    <w:rsid w:val="004E4AFA"/>
    <w:rsid w:val="004E4C65"/>
    <w:rsid w:val="004E4C8C"/>
    <w:rsid w:val="004E508F"/>
    <w:rsid w:val="004E525E"/>
    <w:rsid w:val="004E544A"/>
    <w:rsid w:val="004E54A1"/>
    <w:rsid w:val="004E58BF"/>
    <w:rsid w:val="004E59AE"/>
    <w:rsid w:val="004E5E90"/>
    <w:rsid w:val="004E5FE7"/>
    <w:rsid w:val="004E69D1"/>
    <w:rsid w:val="004E6BA5"/>
    <w:rsid w:val="004E6FD8"/>
    <w:rsid w:val="004E7270"/>
    <w:rsid w:val="004E76D3"/>
    <w:rsid w:val="004E79F8"/>
    <w:rsid w:val="004F0448"/>
    <w:rsid w:val="004F0623"/>
    <w:rsid w:val="004F0C2A"/>
    <w:rsid w:val="004F0F77"/>
    <w:rsid w:val="004F1540"/>
    <w:rsid w:val="004F1ECA"/>
    <w:rsid w:val="004F2273"/>
    <w:rsid w:val="004F2378"/>
    <w:rsid w:val="004F2486"/>
    <w:rsid w:val="004F2553"/>
    <w:rsid w:val="004F275E"/>
    <w:rsid w:val="004F27F5"/>
    <w:rsid w:val="004F2F33"/>
    <w:rsid w:val="004F3587"/>
    <w:rsid w:val="004F3D16"/>
    <w:rsid w:val="004F40CE"/>
    <w:rsid w:val="004F4177"/>
    <w:rsid w:val="004F4282"/>
    <w:rsid w:val="004F46CB"/>
    <w:rsid w:val="004F4BD4"/>
    <w:rsid w:val="004F4CB3"/>
    <w:rsid w:val="004F5101"/>
    <w:rsid w:val="004F5969"/>
    <w:rsid w:val="004F5DC6"/>
    <w:rsid w:val="004F6296"/>
    <w:rsid w:val="004F6374"/>
    <w:rsid w:val="004F659A"/>
    <w:rsid w:val="004F6706"/>
    <w:rsid w:val="004F67D1"/>
    <w:rsid w:val="004F6A72"/>
    <w:rsid w:val="004F6ACC"/>
    <w:rsid w:val="004F724C"/>
    <w:rsid w:val="004F7E0B"/>
    <w:rsid w:val="0050020E"/>
    <w:rsid w:val="005004E1"/>
    <w:rsid w:val="005005A4"/>
    <w:rsid w:val="00500C4B"/>
    <w:rsid w:val="00500E5E"/>
    <w:rsid w:val="00500FA7"/>
    <w:rsid w:val="005015C6"/>
    <w:rsid w:val="00501C39"/>
    <w:rsid w:val="00501D03"/>
    <w:rsid w:val="005029CB"/>
    <w:rsid w:val="00502B92"/>
    <w:rsid w:val="00502D1B"/>
    <w:rsid w:val="00503216"/>
    <w:rsid w:val="0050341D"/>
    <w:rsid w:val="0050360F"/>
    <w:rsid w:val="005039EE"/>
    <w:rsid w:val="00503F81"/>
    <w:rsid w:val="0050441F"/>
    <w:rsid w:val="00504838"/>
    <w:rsid w:val="0050496F"/>
    <w:rsid w:val="00504DFD"/>
    <w:rsid w:val="005051F3"/>
    <w:rsid w:val="00505846"/>
    <w:rsid w:val="00506CA3"/>
    <w:rsid w:val="005073A0"/>
    <w:rsid w:val="005079B2"/>
    <w:rsid w:val="00510001"/>
    <w:rsid w:val="00510925"/>
    <w:rsid w:val="00510D42"/>
    <w:rsid w:val="00510F6D"/>
    <w:rsid w:val="00511B34"/>
    <w:rsid w:val="00512D78"/>
    <w:rsid w:val="005131DD"/>
    <w:rsid w:val="005132B8"/>
    <w:rsid w:val="00513694"/>
    <w:rsid w:val="00514A04"/>
    <w:rsid w:val="00514DFA"/>
    <w:rsid w:val="005152AD"/>
    <w:rsid w:val="005155A5"/>
    <w:rsid w:val="0051579C"/>
    <w:rsid w:val="0051580B"/>
    <w:rsid w:val="00515916"/>
    <w:rsid w:val="00515DCA"/>
    <w:rsid w:val="00515FDA"/>
    <w:rsid w:val="00516389"/>
    <w:rsid w:val="00516878"/>
    <w:rsid w:val="00516A12"/>
    <w:rsid w:val="005175E2"/>
    <w:rsid w:val="00517F46"/>
    <w:rsid w:val="00520240"/>
    <w:rsid w:val="005203D3"/>
    <w:rsid w:val="005207A4"/>
    <w:rsid w:val="005208D1"/>
    <w:rsid w:val="0052108E"/>
    <w:rsid w:val="0052108F"/>
    <w:rsid w:val="00521644"/>
    <w:rsid w:val="00521761"/>
    <w:rsid w:val="00521843"/>
    <w:rsid w:val="00521F42"/>
    <w:rsid w:val="005220FA"/>
    <w:rsid w:val="00522785"/>
    <w:rsid w:val="00522C39"/>
    <w:rsid w:val="005232A3"/>
    <w:rsid w:val="005234B9"/>
    <w:rsid w:val="00523713"/>
    <w:rsid w:val="00523E29"/>
    <w:rsid w:val="00524400"/>
    <w:rsid w:val="005244CF"/>
    <w:rsid w:val="00524739"/>
    <w:rsid w:val="00524942"/>
    <w:rsid w:val="005251E6"/>
    <w:rsid w:val="00525390"/>
    <w:rsid w:val="00525467"/>
    <w:rsid w:val="00525837"/>
    <w:rsid w:val="00525DFB"/>
    <w:rsid w:val="00525F47"/>
    <w:rsid w:val="00526589"/>
    <w:rsid w:val="005268FB"/>
    <w:rsid w:val="00527937"/>
    <w:rsid w:val="00527A8E"/>
    <w:rsid w:val="00527B4B"/>
    <w:rsid w:val="00527D25"/>
    <w:rsid w:val="005308BC"/>
    <w:rsid w:val="00530AE2"/>
    <w:rsid w:val="00530D3F"/>
    <w:rsid w:val="0053113A"/>
    <w:rsid w:val="005311F7"/>
    <w:rsid w:val="00531C27"/>
    <w:rsid w:val="00532065"/>
    <w:rsid w:val="00532108"/>
    <w:rsid w:val="00532683"/>
    <w:rsid w:val="0053314C"/>
    <w:rsid w:val="00533897"/>
    <w:rsid w:val="005338B1"/>
    <w:rsid w:val="00533B13"/>
    <w:rsid w:val="00534146"/>
    <w:rsid w:val="00534691"/>
    <w:rsid w:val="00534ACB"/>
    <w:rsid w:val="00534AD6"/>
    <w:rsid w:val="00534C4D"/>
    <w:rsid w:val="00534F36"/>
    <w:rsid w:val="005353FE"/>
    <w:rsid w:val="005355BD"/>
    <w:rsid w:val="0053575E"/>
    <w:rsid w:val="00535D57"/>
    <w:rsid w:val="0053773F"/>
    <w:rsid w:val="00537A55"/>
    <w:rsid w:val="00540301"/>
    <w:rsid w:val="00540394"/>
    <w:rsid w:val="005409AA"/>
    <w:rsid w:val="00540BFC"/>
    <w:rsid w:val="00541722"/>
    <w:rsid w:val="0054184A"/>
    <w:rsid w:val="00541D64"/>
    <w:rsid w:val="0054201B"/>
    <w:rsid w:val="00542245"/>
    <w:rsid w:val="005422F0"/>
    <w:rsid w:val="00542649"/>
    <w:rsid w:val="0054272E"/>
    <w:rsid w:val="0054280D"/>
    <w:rsid w:val="00542885"/>
    <w:rsid w:val="00542FBD"/>
    <w:rsid w:val="0054351D"/>
    <w:rsid w:val="00543C82"/>
    <w:rsid w:val="00545189"/>
    <w:rsid w:val="00545967"/>
    <w:rsid w:val="00546478"/>
    <w:rsid w:val="00546498"/>
    <w:rsid w:val="00546851"/>
    <w:rsid w:val="005469CD"/>
    <w:rsid w:val="00550A8E"/>
    <w:rsid w:val="0055142A"/>
    <w:rsid w:val="005517EF"/>
    <w:rsid w:val="005518B4"/>
    <w:rsid w:val="005523BB"/>
    <w:rsid w:val="005524C3"/>
    <w:rsid w:val="00552809"/>
    <w:rsid w:val="00552880"/>
    <w:rsid w:val="005529C0"/>
    <w:rsid w:val="00552FD8"/>
    <w:rsid w:val="00552FE3"/>
    <w:rsid w:val="0055361E"/>
    <w:rsid w:val="0055395B"/>
    <w:rsid w:val="00553C91"/>
    <w:rsid w:val="005540B1"/>
    <w:rsid w:val="00554820"/>
    <w:rsid w:val="00554AB4"/>
    <w:rsid w:val="00554D68"/>
    <w:rsid w:val="0055591B"/>
    <w:rsid w:val="00555AB7"/>
    <w:rsid w:val="00555D19"/>
    <w:rsid w:val="00555FA1"/>
    <w:rsid w:val="00556427"/>
    <w:rsid w:val="005578B1"/>
    <w:rsid w:val="00557C0A"/>
    <w:rsid w:val="00557F41"/>
    <w:rsid w:val="00560550"/>
    <w:rsid w:val="0056072E"/>
    <w:rsid w:val="00560C20"/>
    <w:rsid w:val="00560DAB"/>
    <w:rsid w:val="005615C7"/>
    <w:rsid w:val="00562175"/>
    <w:rsid w:val="005622F7"/>
    <w:rsid w:val="00562614"/>
    <w:rsid w:val="00562A68"/>
    <w:rsid w:val="00562ABA"/>
    <w:rsid w:val="005631CE"/>
    <w:rsid w:val="00563333"/>
    <w:rsid w:val="005634B1"/>
    <w:rsid w:val="005637AE"/>
    <w:rsid w:val="00563C51"/>
    <w:rsid w:val="005641DB"/>
    <w:rsid w:val="00564339"/>
    <w:rsid w:val="00564953"/>
    <w:rsid w:val="00564BE2"/>
    <w:rsid w:val="00565328"/>
    <w:rsid w:val="00565693"/>
    <w:rsid w:val="00565AA0"/>
    <w:rsid w:val="00566601"/>
    <w:rsid w:val="00566A45"/>
    <w:rsid w:val="00566A9A"/>
    <w:rsid w:val="00566B8E"/>
    <w:rsid w:val="0056728D"/>
    <w:rsid w:val="00567D09"/>
    <w:rsid w:val="00567ED3"/>
    <w:rsid w:val="00570032"/>
    <w:rsid w:val="005702D6"/>
    <w:rsid w:val="0057034C"/>
    <w:rsid w:val="005705AB"/>
    <w:rsid w:val="00570C88"/>
    <w:rsid w:val="00570DB3"/>
    <w:rsid w:val="00570E95"/>
    <w:rsid w:val="00570FC8"/>
    <w:rsid w:val="00571E5F"/>
    <w:rsid w:val="00571F73"/>
    <w:rsid w:val="005722D3"/>
    <w:rsid w:val="00572911"/>
    <w:rsid w:val="00573195"/>
    <w:rsid w:val="0057393A"/>
    <w:rsid w:val="00574480"/>
    <w:rsid w:val="00574584"/>
    <w:rsid w:val="005746F5"/>
    <w:rsid w:val="00574A36"/>
    <w:rsid w:val="00574C17"/>
    <w:rsid w:val="00574D80"/>
    <w:rsid w:val="0057561D"/>
    <w:rsid w:val="00575E40"/>
    <w:rsid w:val="00576445"/>
    <w:rsid w:val="00576C4F"/>
    <w:rsid w:val="00576C9A"/>
    <w:rsid w:val="0057700F"/>
    <w:rsid w:val="0057714D"/>
    <w:rsid w:val="00577F40"/>
    <w:rsid w:val="0058027D"/>
    <w:rsid w:val="005807CC"/>
    <w:rsid w:val="00580A64"/>
    <w:rsid w:val="00580B6C"/>
    <w:rsid w:val="00580BB3"/>
    <w:rsid w:val="00580F7A"/>
    <w:rsid w:val="00581208"/>
    <w:rsid w:val="005819AC"/>
    <w:rsid w:val="00582302"/>
    <w:rsid w:val="0058238F"/>
    <w:rsid w:val="005840E6"/>
    <w:rsid w:val="0058477A"/>
    <w:rsid w:val="00584883"/>
    <w:rsid w:val="00584A65"/>
    <w:rsid w:val="00584A6A"/>
    <w:rsid w:val="00584BEC"/>
    <w:rsid w:val="00585396"/>
    <w:rsid w:val="0058544A"/>
    <w:rsid w:val="0058579C"/>
    <w:rsid w:val="005867D5"/>
    <w:rsid w:val="00586A84"/>
    <w:rsid w:val="00586AD9"/>
    <w:rsid w:val="00586CA4"/>
    <w:rsid w:val="00587179"/>
    <w:rsid w:val="0058721A"/>
    <w:rsid w:val="00587447"/>
    <w:rsid w:val="00587679"/>
    <w:rsid w:val="00587ABA"/>
    <w:rsid w:val="00587E57"/>
    <w:rsid w:val="005902EF"/>
    <w:rsid w:val="0059086C"/>
    <w:rsid w:val="00590B15"/>
    <w:rsid w:val="00590BB2"/>
    <w:rsid w:val="00590FD0"/>
    <w:rsid w:val="0059119B"/>
    <w:rsid w:val="00591A1A"/>
    <w:rsid w:val="00591BF4"/>
    <w:rsid w:val="005926E3"/>
    <w:rsid w:val="005927C1"/>
    <w:rsid w:val="005929DC"/>
    <w:rsid w:val="00592D66"/>
    <w:rsid w:val="00593492"/>
    <w:rsid w:val="005935E2"/>
    <w:rsid w:val="00593B60"/>
    <w:rsid w:val="005944E2"/>
    <w:rsid w:val="00594C65"/>
    <w:rsid w:val="00595532"/>
    <w:rsid w:val="005955E1"/>
    <w:rsid w:val="0059568F"/>
    <w:rsid w:val="00595B1B"/>
    <w:rsid w:val="00595B5B"/>
    <w:rsid w:val="00595C96"/>
    <w:rsid w:val="00595E45"/>
    <w:rsid w:val="00595E73"/>
    <w:rsid w:val="00596272"/>
    <w:rsid w:val="00596321"/>
    <w:rsid w:val="005966BC"/>
    <w:rsid w:val="00596956"/>
    <w:rsid w:val="00596CA2"/>
    <w:rsid w:val="00596D3B"/>
    <w:rsid w:val="00597358"/>
    <w:rsid w:val="00597624"/>
    <w:rsid w:val="00597FAB"/>
    <w:rsid w:val="005A05BF"/>
    <w:rsid w:val="005A06FC"/>
    <w:rsid w:val="005A14D5"/>
    <w:rsid w:val="005A249F"/>
    <w:rsid w:val="005A297A"/>
    <w:rsid w:val="005A2B5E"/>
    <w:rsid w:val="005A30FE"/>
    <w:rsid w:val="005A36FB"/>
    <w:rsid w:val="005A3D85"/>
    <w:rsid w:val="005A4043"/>
    <w:rsid w:val="005A439A"/>
    <w:rsid w:val="005A4A32"/>
    <w:rsid w:val="005A5346"/>
    <w:rsid w:val="005A55C4"/>
    <w:rsid w:val="005A6201"/>
    <w:rsid w:val="005A6340"/>
    <w:rsid w:val="005A6DDC"/>
    <w:rsid w:val="005A6FB0"/>
    <w:rsid w:val="005A74CD"/>
    <w:rsid w:val="005A7697"/>
    <w:rsid w:val="005A7EF8"/>
    <w:rsid w:val="005B0E0A"/>
    <w:rsid w:val="005B13D8"/>
    <w:rsid w:val="005B18E3"/>
    <w:rsid w:val="005B1AE4"/>
    <w:rsid w:val="005B1C07"/>
    <w:rsid w:val="005B2654"/>
    <w:rsid w:val="005B2911"/>
    <w:rsid w:val="005B2948"/>
    <w:rsid w:val="005B2D00"/>
    <w:rsid w:val="005B2F8B"/>
    <w:rsid w:val="005B3C41"/>
    <w:rsid w:val="005B3DC4"/>
    <w:rsid w:val="005B3ED7"/>
    <w:rsid w:val="005B401E"/>
    <w:rsid w:val="005B49ED"/>
    <w:rsid w:val="005B502D"/>
    <w:rsid w:val="005B518F"/>
    <w:rsid w:val="005B528D"/>
    <w:rsid w:val="005B5899"/>
    <w:rsid w:val="005B58B2"/>
    <w:rsid w:val="005B5959"/>
    <w:rsid w:val="005B5BB8"/>
    <w:rsid w:val="005B5D38"/>
    <w:rsid w:val="005B628A"/>
    <w:rsid w:val="005B64E0"/>
    <w:rsid w:val="005B6552"/>
    <w:rsid w:val="005B6911"/>
    <w:rsid w:val="005B694A"/>
    <w:rsid w:val="005B70B3"/>
    <w:rsid w:val="005B7166"/>
    <w:rsid w:val="005B75DB"/>
    <w:rsid w:val="005B75E5"/>
    <w:rsid w:val="005B767D"/>
    <w:rsid w:val="005C0677"/>
    <w:rsid w:val="005C1185"/>
    <w:rsid w:val="005C144D"/>
    <w:rsid w:val="005C17F3"/>
    <w:rsid w:val="005C180A"/>
    <w:rsid w:val="005C1AB8"/>
    <w:rsid w:val="005C1E57"/>
    <w:rsid w:val="005C1E5E"/>
    <w:rsid w:val="005C2503"/>
    <w:rsid w:val="005C279A"/>
    <w:rsid w:val="005C2C31"/>
    <w:rsid w:val="005C2EC0"/>
    <w:rsid w:val="005C31D1"/>
    <w:rsid w:val="005C3593"/>
    <w:rsid w:val="005C3BC0"/>
    <w:rsid w:val="005C3FE6"/>
    <w:rsid w:val="005C4625"/>
    <w:rsid w:val="005C4CFC"/>
    <w:rsid w:val="005C5032"/>
    <w:rsid w:val="005C5237"/>
    <w:rsid w:val="005C5C12"/>
    <w:rsid w:val="005C5EA9"/>
    <w:rsid w:val="005C6253"/>
    <w:rsid w:val="005C629C"/>
    <w:rsid w:val="005C6ECC"/>
    <w:rsid w:val="005C6F8F"/>
    <w:rsid w:val="005C7860"/>
    <w:rsid w:val="005C7870"/>
    <w:rsid w:val="005C7DC8"/>
    <w:rsid w:val="005D0277"/>
    <w:rsid w:val="005D0688"/>
    <w:rsid w:val="005D0A8D"/>
    <w:rsid w:val="005D0D44"/>
    <w:rsid w:val="005D1083"/>
    <w:rsid w:val="005D1362"/>
    <w:rsid w:val="005D13F7"/>
    <w:rsid w:val="005D16C8"/>
    <w:rsid w:val="005D177F"/>
    <w:rsid w:val="005D1E34"/>
    <w:rsid w:val="005D1F1E"/>
    <w:rsid w:val="005D2876"/>
    <w:rsid w:val="005D2D5E"/>
    <w:rsid w:val="005D3001"/>
    <w:rsid w:val="005D3003"/>
    <w:rsid w:val="005D30EC"/>
    <w:rsid w:val="005D34D3"/>
    <w:rsid w:val="005D37CB"/>
    <w:rsid w:val="005D38F7"/>
    <w:rsid w:val="005D40DF"/>
    <w:rsid w:val="005D4916"/>
    <w:rsid w:val="005D4DB3"/>
    <w:rsid w:val="005D4FAE"/>
    <w:rsid w:val="005D515F"/>
    <w:rsid w:val="005D5377"/>
    <w:rsid w:val="005D5468"/>
    <w:rsid w:val="005D590A"/>
    <w:rsid w:val="005D5A62"/>
    <w:rsid w:val="005D5C05"/>
    <w:rsid w:val="005D5D3A"/>
    <w:rsid w:val="005D6856"/>
    <w:rsid w:val="005D716F"/>
    <w:rsid w:val="005D7F81"/>
    <w:rsid w:val="005E0013"/>
    <w:rsid w:val="005E0280"/>
    <w:rsid w:val="005E0343"/>
    <w:rsid w:val="005E0BD6"/>
    <w:rsid w:val="005E1295"/>
    <w:rsid w:val="005E12C1"/>
    <w:rsid w:val="005E169C"/>
    <w:rsid w:val="005E1876"/>
    <w:rsid w:val="005E1A29"/>
    <w:rsid w:val="005E1A4B"/>
    <w:rsid w:val="005E1E3E"/>
    <w:rsid w:val="005E278A"/>
    <w:rsid w:val="005E2A57"/>
    <w:rsid w:val="005E2C87"/>
    <w:rsid w:val="005E2E9B"/>
    <w:rsid w:val="005E2EAB"/>
    <w:rsid w:val="005E3021"/>
    <w:rsid w:val="005E3C47"/>
    <w:rsid w:val="005E4779"/>
    <w:rsid w:val="005E4835"/>
    <w:rsid w:val="005E4B7F"/>
    <w:rsid w:val="005E5896"/>
    <w:rsid w:val="005E5999"/>
    <w:rsid w:val="005E5DE2"/>
    <w:rsid w:val="005E63E0"/>
    <w:rsid w:val="005E6B47"/>
    <w:rsid w:val="005E6C5B"/>
    <w:rsid w:val="005E6DFB"/>
    <w:rsid w:val="005E6ECB"/>
    <w:rsid w:val="005E6FAB"/>
    <w:rsid w:val="005E7863"/>
    <w:rsid w:val="005E7AAA"/>
    <w:rsid w:val="005E7ADF"/>
    <w:rsid w:val="005E7CFF"/>
    <w:rsid w:val="005F0072"/>
    <w:rsid w:val="005F03AB"/>
    <w:rsid w:val="005F07DF"/>
    <w:rsid w:val="005F10A4"/>
    <w:rsid w:val="005F119A"/>
    <w:rsid w:val="005F11A1"/>
    <w:rsid w:val="005F1210"/>
    <w:rsid w:val="005F129A"/>
    <w:rsid w:val="005F1A27"/>
    <w:rsid w:val="005F2065"/>
    <w:rsid w:val="005F219F"/>
    <w:rsid w:val="005F284E"/>
    <w:rsid w:val="005F28FF"/>
    <w:rsid w:val="005F2C89"/>
    <w:rsid w:val="005F2F52"/>
    <w:rsid w:val="005F2FEB"/>
    <w:rsid w:val="005F347E"/>
    <w:rsid w:val="005F4773"/>
    <w:rsid w:val="005F4A96"/>
    <w:rsid w:val="005F53B5"/>
    <w:rsid w:val="005F5561"/>
    <w:rsid w:val="005F58F1"/>
    <w:rsid w:val="005F5CA2"/>
    <w:rsid w:val="005F5E26"/>
    <w:rsid w:val="005F66A3"/>
    <w:rsid w:val="005F6A8B"/>
    <w:rsid w:val="005F6F7D"/>
    <w:rsid w:val="005F72A7"/>
    <w:rsid w:val="005F7852"/>
    <w:rsid w:val="005F78CA"/>
    <w:rsid w:val="005F7B7F"/>
    <w:rsid w:val="005F7E41"/>
    <w:rsid w:val="005F7EDE"/>
    <w:rsid w:val="006000CD"/>
    <w:rsid w:val="0060038C"/>
    <w:rsid w:val="006003A8"/>
    <w:rsid w:val="00600AC5"/>
    <w:rsid w:val="00600FF3"/>
    <w:rsid w:val="00601E43"/>
    <w:rsid w:val="00601F9C"/>
    <w:rsid w:val="0060265C"/>
    <w:rsid w:val="00602F4C"/>
    <w:rsid w:val="00602F64"/>
    <w:rsid w:val="00602FE4"/>
    <w:rsid w:val="00603729"/>
    <w:rsid w:val="006041B4"/>
    <w:rsid w:val="006041DD"/>
    <w:rsid w:val="0060425A"/>
    <w:rsid w:val="0060457C"/>
    <w:rsid w:val="00604CEE"/>
    <w:rsid w:val="006051AF"/>
    <w:rsid w:val="00605815"/>
    <w:rsid w:val="00605960"/>
    <w:rsid w:val="00605C66"/>
    <w:rsid w:val="00605DBC"/>
    <w:rsid w:val="00606044"/>
    <w:rsid w:val="00606158"/>
    <w:rsid w:val="00606CB2"/>
    <w:rsid w:val="00606E31"/>
    <w:rsid w:val="00606EEA"/>
    <w:rsid w:val="006071FE"/>
    <w:rsid w:val="006077B0"/>
    <w:rsid w:val="00610529"/>
    <w:rsid w:val="00610B7E"/>
    <w:rsid w:val="00610CBF"/>
    <w:rsid w:val="0061104A"/>
    <w:rsid w:val="00611527"/>
    <w:rsid w:val="0061190F"/>
    <w:rsid w:val="00612246"/>
    <w:rsid w:val="006123D6"/>
    <w:rsid w:val="006124BA"/>
    <w:rsid w:val="00612615"/>
    <w:rsid w:val="00612A37"/>
    <w:rsid w:val="00612AE2"/>
    <w:rsid w:val="0061310C"/>
    <w:rsid w:val="0061316C"/>
    <w:rsid w:val="006136F6"/>
    <w:rsid w:val="00613918"/>
    <w:rsid w:val="00613A0F"/>
    <w:rsid w:val="00614630"/>
    <w:rsid w:val="00614B7A"/>
    <w:rsid w:val="00615C0D"/>
    <w:rsid w:val="00615CE8"/>
    <w:rsid w:val="006165FF"/>
    <w:rsid w:val="006168B3"/>
    <w:rsid w:val="0061695F"/>
    <w:rsid w:val="00616DE1"/>
    <w:rsid w:val="006173A4"/>
    <w:rsid w:val="0062041E"/>
    <w:rsid w:val="00620C9D"/>
    <w:rsid w:val="00620D9E"/>
    <w:rsid w:val="00621465"/>
    <w:rsid w:val="00621716"/>
    <w:rsid w:val="00621845"/>
    <w:rsid w:val="006218CC"/>
    <w:rsid w:val="00621AAA"/>
    <w:rsid w:val="00621EF4"/>
    <w:rsid w:val="00622102"/>
    <w:rsid w:val="006223AE"/>
    <w:rsid w:val="006223D8"/>
    <w:rsid w:val="00622546"/>
    <w:rsid w:val="00622699"/>
    <w:rsid w:val="00622975"/>
    <w:rsid w:val="00622E02"/>
    <w:rsid w:val="00623289"/>
    <w:rsid w:val="006235A8"/>
    <w:rsid w:val="006236A8"/>
    <w:rsid w:val="00623AA8"/>
    <w:rsid w:val="00623CB5"/>
    <w:rsid w:val="00624280"/>
    <w:rsid w:val="00624AC6"/>
    <w:rsid w:val="00624B51"/>
    <w:rsid w:val="00624C52"/>
    <w:rsid w:val="006250BC"/>
    <w:rsid w:val="006263CB"/>
    <w:rsid w:val="006267BB"/>
    <w:rsid w:val="00626812"/>
    <w:rsid w:val="00626AF3"/>
    <w:rsid w:val="006272FE"/>
    <w:rsid w:val="006301E5"/>
    <w:rsid w:val="00630B41"/>
    <w:rsid w:val="00630C5B"/>
    <w:rsid w:val="00630EDA"/>
    <w:rsid w:val="00631A43"/>
    <w:rsid w:val="00631D5F"/>
    <w:rsid w:val="00631ED2"/>
    <w:rsid w:val="0063219F"/>
    <w:rsid w:val="006324CB"/>
    <w:rsid w:val="00632796"/>
    <w:rsid w:val="006328A6"/>
    <w:rsid w:val="00632E4A"/>
    <w:rsid w:val="00632FFC"/>
    <w:rsid w:val="0063406A"/>
    <w:rsid w:val="0063412E"/>
    <w:rsid w:val="00634AF2"/>
    <w:rsid w:val="00635186"/>
    <w:rsid w:val="00635DC0"/>
    <w:rsid w:val="0063608B"/>
    <w:rsid w:val="006360CA"/>
    <w:rsid w:val="00636113"/>
    <w:rsid w:val="0063681A"/>
    <w:rsid w:val="006369D9"/>
    <w:rsid w:val="00636A02"/>
    <w:rsid w:val="00636BED"/>
    <w:rsid w:val="00636E9D"/>
    <w:rsid w:val="0064095E"/>
    <w:rsid w:val="006409A0"/>
    <w:rsid w:val="006410BE"/>
    <w:rsid w:val="00641273"/>
    <w:rsid w:val="00641403"/>
    <w:rsid w:val="00641A58"/>
    <w:rsid w:val="00641E59"/>
    <w:rsid w:val="006428DC"/>
    <w:rsid w:val="00642ADE"/>
    <w:rsid w:val="00642B2D"/>
    <w:rsid w:val="00642EDA"/>
    <w:rsid w:val="00643072"/>
    <w:rsid w:val="00643280"/>
    <w:rsid w:val="006437AE"/>
    <w:rsid w:val="00643941"/>
    <w:rsid w:val="00643D79"/>
    <w:rsid w:val="00644737"/>
    <w:rsid w:val="006448B3"/>
    <w:rsid w:val="00644C98"/>
    <w:rsid w:val="00645874"/>
    <w:rsid w:val="00645B85"/>
    <w:rsid w:val="00646235"/>
    <w:rsid w:val="0064628B"/>
    <w:rsid w:val="006467E9"/>
    <w:rsid w:val="00646F8A"/>
    <w:rsid w:val="0064750A"/>
    <w:rsid w:val="00647AFD"/>
    <w:rsid w:val="006500D5"/>
    <w:rsid w:val="0065081D"/>
    <w:rsid w:val="00650889"/>
    <w:rsid w:val="00651362"/>
    <w:rsid w:val="00651454"/>
    <w:rsid w:val="006514D1"/>
    <w:rsid w:val="0065175D"/>
    <w:rsid w:val="006519CF"/>
    <w:rsid w:val="00651C95"/>
    <w:rsid w:val="00651F89"/>
    <w:rsid w:val="00652430"/>
    <w:rsid w:val="006527C1"/>
    <w:rsid w:val="00652B4E"/>
    <w:rsid w:val="00652D9F"/>
    <w:rsid w:val="00652E03"/>
    <w:rsid w:val="0065304D"/>
    <w:rsid w:val="0065315D"/>
    <w:rsid w:val="006538B0"/>
    <w:rsid w:val="006545C8"/>
    <w:rsid w:val="0065478F"/>
    <w:rsid w:val="0065497E"/>
    <w:rsid w:val="00654E29"/>
    <w:rsid w:val="00655004"/>
    <w:rsid w:val="00655194"/>
    <w:rsid w:val="006558B7"/>
    <w:rsid w:val="006558F8"/>
    <w:rsid w:val="00655917"/>
    <w:rsid w:val="006566B9"/>
    <w:rsid w:val="0065711B"/>
    <w:rsid w:val="00657315"/>
    <w:rsid w:val="00657C5E"/>
    <w:rsid w:val="00657D0C"/>
    <w:rsid w:val="00657EF6"/>
    <w:rsid w:val="00657FFB"/>
    <w:rsid w:val="006600A9"/>
    <w:rsid w:val="0066078B"/>
    <w:rsid w:val="00660B01"/>
    <w:rsid w:val="00660FBF"/>
    <w:rsid w:val="00661498"/>
    <w:rsid w:val="006619A3"/>
    <w:rsid w:val="00661C2D"/>
    <w:rsid w:val="006627AF"/>
    <w:rsid w:val="00663905"/>
    <w:rsid w:val="00663924"/>
    <w:rsid w:val="00663C31"/>
    <w:rsid w:val="00663E47"/>
    <w:rsid w:val="0066427D"/>
    <w:rsid w:val="006642DE"/>
    <w:rsid w:val="006646BE"/>
    <w:rsid w:val="00664B4D"/>
    <w:rsid w:val="00664BF3"/>
    <w:rsid w:val="00665304"/>
    <w:rsid w:val="00665A45"/>
    <w:rsid w:val="00665DCC"/>
    <w:rsid w:val="0066674A"/>
    <w:rsid w:val="00666954"/>
    <w:rsid w:val="00666A7D"/>
    <w:rsid w:val="00667216"/>
    <w:rsid w:val="006672E2"/>
    <w:rsid w:val="0066765E"/>
    <w:rsid w:val="0066780F"/>
    <w:rsid w:val="00667C65"/>
    <w:rsid w:val="00670483"/>
    <w:rsid w:val="006709DA"/>
    <w:rsid w:val="006711D2"/>
    <w:rsid w:val="006717F0"/>
    <w:rsid w:val="00671AAF"/>
    <w:rsid w:val="00671B31"/>
    <w:rsid w:val="00672590"/>
    <w:rsid w:val="00672D02"/>
    <w:rsid w:val="00672F0B"/>
    <w:rsid w:val="006733A9"/>
    <w:rsid w:val="00673878"/>
    <w:rsid w:val="00673995"/>
    <w:rsid w:val="00673DBF"/>
    <w:rsid w:val="006740BE"/>
    <w:rsid w:val="00675482"/>
    <w:rsid w:val="00675782"/>
    <w:rsid w:val="00676467"/>
    <w:rsid w:val="0067654C"/>
    <w:rsid w:val="006770DD"/>
    <w:rsid w:val="006770F5"/>
    <w:rsid w:val="00677769"/>
    <w:rsid w:val="00677C02"/>
    <w:rsid w:val="00677D0A"/>
    <w:rsid w:val="00677D5B"/>
    <w:rsid w:val="00680417"/>
    <w:rsid w:val="0068053F"/>
    <w:rsid w:val="00680585"/>
    <w:rsid w:val="00680770"/>
    <w:rsid w:val="00680866"/>
    <w:rsid w:val="00680E28"/>
    <w:rsid w:val="00681235"/>
    <w:rsid w:val="00681A40"/>
    <w:rsid w:val="00681E3F"/>
    <w:rsid w:val="006827E9"/>
    <w:rsid w:val="00682AB8"/>
    <w:rsid w:val="00682B9A"/>
    <w:rsid w:val="00682F17"/>
    <w:rsid w:val="00683542"/>
    <w:rsid w:val="006839B0"/>
    <w:rsid w:val="00683D5D"/>
    <w:rsid w:val="00683F54"/>
    <w:rsid w:val="006842DC"/>
    <w:rsid w:val="00684BC4"/>
    <w:rsid w:val="00684E33"/>
    <w:rsid w:val="00684E45"/>
    <w:rsid w:val="00684F2B"/>
    <w:rsid w:val="0068510D"/>
    <w:rsid w:val="00685A60"/>
    <w:rsid w:val="006865CD"/>
    <w:rsid w:val="006869AB"/>
    <w:rsid w:val="00686B2E"/>
    <w:rsid w:val="006873F6"/>
    <w:rsid w:val="006874A3"/>
    <w:rsid w:val="006876F2"/>
    <w:rsid w:val="00687733"/>
    <w:rsid w:val="0069034F"/>
    <w:rsid w:val="006907CE"/>
    <w:rsid w:val="00690C5F"/>
    <w:rsid w:val="00691286"/>
    <w:rsid w:val="006918D1"/>
    <w:rsid w:val="00691F20"/>
    <w:rsid w:val="00692788"/>
    <w:rsid w:val="00692BD1"/>
    <w:rsid w:val="00692BEB"/>
    <w:rsid w:val="00692DF9"/>
    <w:rsid w:val="00692F9E"/>
    <w:rsid w:val="006931D5"/>
    <w:rsid w:val="00693EC2"/>
    <w:rsid w:val="006948CE"/>
    <w:rsid w:val="0069560E"/>
    <w:rsid w:val="00696241"/>
    <w:rsid w:val="00696709"/>
    <w:rsid w:val="006970D1"/>
    <w:rsid w:val="00697453"/>
    <w:rsid w:val="0069748B"/>
    <w:rsid w:val="00697495"/>
    <w:rsid w:val="006975EF"/>
    <w:rsid w:val="006976F8"/>
    <w:rsid w:val="0069792F"/>
    <w:rsid w:val="006A0264"/>
    <w:rsid w:val="006A02CF"/>
    <w:rsid w:val="006A06F1"/>
    <w:rsid w:val="006A0B01"/>
    <w:rsid w:val="006A147C"/>
    <w:rsid w:val="006A1BAA"/>
    <w:rsid w:val="006A1F55"/>
    <w:rsid w:val="006A2374"/>
    <w:rsid w:val="006A33C1"/>
    <w:rsid w:val="006A3861"/>
    <w:rsid w:val="006A4265"/>
    <w:rsid w:val="006A42F5"/>
    <w:rsid w:val="006A43C3"/>
    <w:rsid w:val="006A5AE0"/>
    <w:rsid w:val="006A5AE2"/>
    <w:rsid w:val="006A5CDA"/>
    <w:rsid w:val="006A6217"/>
    <w:rsid w:val="006A6599"/>
    <w:rsid w:val="006A6B82"/>
    <w:rsid w:val="006A6F38"/>
    <w:rsid w:val="006A70B1"/>
    <w:rsid w:val="006B00D3"/>
    <w:rsid w:val="006B09BA"/>
    <w:rsid w:val="006B11E7"/>
    <w:rsid w:val="006B1A84"/>
    <w:rsid w:val="006B1E05"/>
    <w:rsid w:val="006B1EA5"/>
    <w:rsid w:val="006B2104"/>
    <w:rsid w:val="006B298F"/>
    <w:rsid w:val="006B2ECC"/>
    <w:rsid w:val="006B3647"/>
    <w:rsid w:val="006B4279"/>
    <w:rsid w:val="006B43FB"/>
    <w:rsid w:val="006B47EE"/>
    <w:rsid w:val="006B49D1"/>
    <w:rsid w:val="006B4ABC"/>
    <w:rsid w:val="006B4F43"/>
    <w:rsid w:val="006B5397"/>
    <w:rsid w:val="006B58A1"/>
    <w:rsid w:val="006B5BAD"/>
    <w:rsid w:val="006B655A"/>
    <w:rsid w:val="006B6669"/>
    <w:rsid w:val="006B68F4"/>
    <w:rsid w:val="006B69A0"/>
    <w:rsid w:val="006B6C9D"/>
    <w:rsid w:val="006B7005"/>
    <w:rsid w:val="006B71E4"/>
    <w:rsid w:val="006B746D"/>
    <w:rsid w:val="006B76A0"/>
    <w:rsid w:val="006B7783"/>
    <w:rsid w:val="006B77DF"/>
    <w:rsid w:val="006B78F3"/>
    <w:rsid w:val="006C002A"/>
    <w:rsid w:val="006C02CE"/>
    <w:rsid w:val="006C03D7"/>
    <w:rsid w:val="006C0508"/>
    <w:rsid w:val="006C0F04"/>
    <w:rsid w:val="006C1112"/>
    <w:rsid w:val="006C165A"/>
    <w:rsid w:val="006C18C3"/>
    <w:rsid w:val="006C1BB2"/>
    <w:rsid w:val="006C26BB"/>
    <w:rsid w:val="006C2AA6"/>
    <w:rsid w:val="006C2ED9"/>
    <w:rsid w:val="006C3040"/>
    <w:rsid w:val="006C3541"/>
    <w:rsid w:val="006C3BDC"/>
    <w:rsid w:val="006C3D71"/>
    <w:rsid w:val="006C4553"/>
    <w:rsid w:val="006C49FB"/>
    <w:rsid w:val="006C4A43"/>
    <w:rsid w:val="006C4B30"/>
    <w:rsid w:val="006C4E74"/>
    <w:rsid w:val="006C51FB"/>
    <w:rsid w:val="006C5237"/>
    <w:rsid w:val="006C5698"/>
    <w:rsid w:val="006C58B8"/>
    <w:rsid w:val="006C5DDB"/>
    <w:rsid w:val="006C5E6A"/>
    <w:rsid w:val="006C6862"/>
    <w:rsid w:val="006C78EA"/>
    <w:rsid w:val="006C7B52"/>
    <w:rsid w:val="006C7E55"/>
    <w:rsid w:val="006C7E89"/>
    <w:rsid w:val="006D0624"/>
    <w:rsid w:val="006D0907"/>
    <w:rsid w:val="006D0A70"/>
    <w:rsid w:val="006D0D1C"/>
    <w:rsid w:val="006D10DF"/>
    <w:rsid w:val="006D1AE2"/>
    <w:rsid w:val="006D212C"/>
    <w:rsid w:val="006D21AD"/>
    <w:rsid w:val="006D2C9C"/>
    <w:rsid w:val="006D2E95"/>
    <w:rsid w:val="006D2EF0"/>
    <w:rsid w:val="006D3516"/>
    <w:rsid w:val="006D3741"/>
    <w:rsid w:val="006D3C1A"/>
    <w:rsid w:val="006D47D5"/>
    <w:rsid w:val="006D4BE9"/>
    <w:rsid w:val="006D4E67"/>
    <w:rsid w:val="006D4FEB"/>
    <w:rsid w:val="006D5425"/>
    <w:rsid w:val="006D57B5"/>
    <w:rsid w:val="006D5B91"/>
    <w:rsid w:val="006D5CD7"/>
    <w:rsid w:val="006D6CE8"/>
    <w:rsid w:val="006D6E1F"/>
    <w:rsid w:val="006D7077"/>
    <w:rsid w:val="006D744C"/>
    <w:rsid w:val="006D76CC"/>
    <w:rsid w:val="006D7B1D"/>
    <w:rsid w:val="006D7BF6"/>
    <w:rsid w:val="006E0141"/>
    <w:rsid w:val="006E031B"/>
    <w:rsid w:val="006E03CB"/>
    <w:rsid w:val="006E0A5A"/>
    <w:rsid w:val="006E1642"/>
    <w:rsid w:val="006E1CFA"/>
    <w:rsid w:val="006E1D0D"/>
    <w:rsid w:val="006E1E85"/>
    <w:rsid w:val="006E256F"/>
    <w:rsid w:val="006E30F1"/>
    <w:rsid w:val="006E31A6"/>
    <w:rsid w:val="006E3854"/>
    <w:rsid w:val="006E3CB4"/>
    <w:rsid w:val="006E3E23"/>
    <w:rsid w:val="006E411B"/>
    <w:rsid w:val="006E416A"/>
    <w:rsid w:val="006E45F4"/>
    <w:rsid w:val="006E4E08"/>
    <w:rsid w:val="006E52B1"/>
    <w:rsid w:val="006E567F"/>
    <w:rsid w:val="006E56E5"/>
    <w:rsid w:val="006E6271"/>
    <w:rsid w:val="006E6426"/>
    <w:rsid w:val="006E64E8"/>
    <w:rsid w:val="006E68DC"/>
    <w:rsid w:val="006E6CD3"/>
    <w:rsid w:val="006E6D0F"/>
    <w:rsid w:val="006E6DF8"/>
    <w:rsid w:val="006E6F16"/>
    <w:rsid w:val="006E733A"/>
    <w:rsid w:val="006E78AF"/>
    <w:rsid w:val="006E7B8D"/>
    <w:rsid w:val="006E7D31"/>
    <w:rsid w:val="006E7FA6"/>
    <w:rsid w:val="006F0B55"/>
    <w:rsid w:val="006F10BF"/>
    <w:rsid w:val="006F141B"/>
    <w:rsid w:val="006F1636"/>
    <w:rsid w:val="006F1DE5"/>
    <w:rsid w:val="006F3106"/>
    <w:rsid w:val="006F3653"/>
    <w:rsid w:val="006F3686"/>
    <w:rsid w:val="006F387E"/>
    <w:rsid w:val="006F3A0A"/>
    <w:rsid w:val="006F3DC2"/>
    <w:rsid w:val="006F4557"/>
    <w:rsid w:val="006F45A8"/>
    <w:rsid w:val="006F4830"/>
    <w:rsid w:val="006F49CE"/>
    <w:rsid w:val="006F4BC2"/>
    <w:rsid w:val="006F4C00"/>
    <w:rsid w:val="006F4CDD"/>
    <w:rsid w:val="006F5442"/>
    <w:rsid w:val="006F5A3B"/>
    <w:rsid w:val="006F63CF"/>
    <w:rsid w:val="006F7234"/>
    <w:rsid w:val="006F7BD0"/>
    <w:rsid w:val="006F7D80"/>
    <w:rsid w:val="0070062E"/>
    <w:rsid w:val="00702C70"/>
    <w:rsid w:val="00702E5E"/>
    <w:rsid w:val="00702FC1"/>
    <w:rsid w:val="00703087"/>
    <w:rsid w:val="00703105"/>
    <w:rsid w:val="00703174"/>
    <w:rsid w:val="00703380"/>
    <w:rsid w:val="00703420"/>
    <w:rsid w:val="00703548"/>
    <w:rsid w:val="0070382E"/>
    <w:rsid w:val="00703C97"/>
    <w:rsid w:val="00703F3D"/>
    <w:rsid w:val="00703F42"/>
    <w:rsid w:val="00704C03"/>
    <w:rsid w:val="00704DF6"/>
    <w:rsid w:val="00705119"/>
    <w:rsid w:val="00705A74"/>
    <w:rsid w:val="00705E59"/>
    <w:rsid w:val="00706324"/>
    <w:rsid w:val="00706D41"/>
    <w:rsid w:val="00706ED1"/>
    <w:rsid w:val="00706EFE"/>
    <w:rsid w:val="0070770E"/>
    <w:rsid w:val="007078A1"/>
    <w:rsid w:val="00707BE6"/>
    <w:rsid w:val="00707D06"/>
    <w:rsid w:val="00707DB0"/>
    <w:rsid w:val="0071097B"/>
    <w:rsid w:val="00710B68"/>
    <w:rsid w:val="00710ED4"/>
    <w:rsid w:val="007117ED"/>
    <w:rsid w:val="00711B5B"/>
    <w:rsid w:val="00711DB8"/>
    <w:rsid w:val="00712404"/>
    <w:rsid w:val="00712D1C"/>
    <w:rsid w:val="00712FBD"/>
    <w:rsid w:val="00713052"/>
    <w:rsid w:val="0071317B"/>
    <w:rsid w:val="007132AC"/>
    <w:rsid w:val="007144B4"/>
    <w:rsid w:val="00714CB1"/>
    <w:rsid w:val="00714D79"/>
    <w:rsid w:val="00715118"/>
    <w:rsid w:val="007151F2"/>
    <w:rsid w:val="00715202"/>
    <w:rsid w:val="007157D0"/>
    <w:rsid w:val="007158CC"/>
    <w:rsid w:val="00715AAB"/>
    <w:rsid w:val="00715FCB"/>
    <w:rsid w:val="007162AB"/>
    <w:rsid w:val="007163D9"/>
    <w:rsid w:val="007165AC"/>
    <w:rsid w:val="007168F7"/>
    <w:rsid w:val="007174FB"/>
    <w:rsid w:val="0071751F"/>
    <w:rsid w:val="00717C6C"/>
    <w:rsid w:val="00717E19"/>
    <w:rsid w:val="00717E20"/>
    <w:rsid w:val="0072004D"/>
    <w:rsid w:val="00720050"/>
    <w:rsid w:val="007206EB"/>
    <w:rsid w:val="00720BA0"/>
    <w:rsid w:val="00720C18"/>
    <w:rsid w:val="00720D38"/>
    <w:rsid w:val="00720E4F"/>
    <w:rsid w:val="00720F27"/>
    <w:rsid w:val="00721708"/>
    <w:rsid w:val="007218A2"/>
    <w:rsid w:val="00721A6C"/>
    <w:rsid w:val="00721E35"/>
    <w:rsid w:val="007223BA"/>
    <w:rsid w:val="00722483"/>
    <w:rsid w:val="00722A18"/>
    <w:rsid w:val="00722B95"/>
    <w:rsid w:val="00722BAE"/>
    <w:rsid w:val="00722ED2"/>
    <w:rsid w:val="007233C1"/>
    <w:rsid w:val="0072405E"/>
    <w:rsid w:val="007246E2"/>
    <w:rsid w:val="00724798"/>
    <w:rsid w:val="007247D2"/>
    <w:rsid w:val="007248C9"/>
    <w:rsid w:val="00724966"/>
    <w:rsid w:val="00724CED"/>
    <w:rsid w:val="00725B27"/>
    <w:rsid w:val="00726394"/>
    <w:rsid w:val="00726546"/>
    <w:rsid w:val="0072666E"/>
    <w:rsid w:val="00726937"/>
    <w:rsid w:val="00726C9C"/>
    <w:rsid w:val="00726E09"/>
    <w:rsid w:val="007271B0"/>
    <w:rsid w:val="007274FF"/>
    <w:rsid w:val="0072795B"/>
    <w:rsid w:val="00727AA8"/>
    <w:rsid w:val="00730303"/>
    <w:rsid w:val="00730611"/>
    <w:rsid w:val="007310DE"/>
    <w:rsid w:val="00731DFA"/>
    <w:rsid w:val="00731F50"/>
    <w:rsid w:val="00732071"/>
    <w:rsid w:val="00732631"/>
    <w:rsid w:val="00732AA9"/>
    <w:rsid w:val="00732AED"/>
    <w:rsid w:val="00732B2C"/>
    <w:rsid w:val="00733618"/>
    <w:rsid w:val="007339DE"/>
    <w:rsid w:val="00733D64"/>
    <w:rsid w:val="00734713"/>
    <w:rsid w:val="007348D1"/>
    <w:rsid w:val="00734C63"/>
    <w:rsid w:val="00734D16"/>
    <w:rsid w:val="0073503C"/>
    <w:rsid w:val="007358AB"/>
    <w:rsid w:val="0073601A"/>
    <w:rsid w:val="00737497"/>
    <w:rsid w:val="00737877"/>
    <w:rsid w:val="007378F0"/>
    <w:rsid w:val="00737954"/>
    <w:rsid w:val="00737AE2"/>
    <w:rsid w:val="00740505"/>
    <w:rsid w:val="0074090B"/>
    <w:rsid w:val="00740CE7"/>
    <w:rsid w:val="00740F0D"/>
    <w:rsid w:val="00740F33"/>
    <w:rsid w:val="00741219"/>
    <w:rsid w:val="00741680"/>
    <w:rsid w:val="00741C82"/>
    <w:rsid w:val="00741C95"/>
    <w:rsid w:val="00741D3A"/>
    <w:rsid w:val="00742021"/>
    <w:rsid w:val="00742127"/>
    <w:rsid w:val="00743296"/>
    <w:rsid w:val="007439A1"/>
    <w:rsid w:val="00743A74"/>
    <w:rsid w:val="00743B94"/>
    <w:rsid w:val="00743E65"/>
    <w:rsid w:val="00743ED2"/>
    <w:rsid w:val="00743FCD"/>
    <w:rsid w:val="007443A3"/>
    <w:rsid w:val="007448F5"/>
    <w:rsid w:val="00744C9D"/>
    <w:rsid w:val="00745455"/>
    <w:rsid w:val="0074563D"/>
    <w:rsid w:val="0074573A"/>
    <w:rsid w:val="007457E9"/>
    <w:rsid w:val="00746669"/>
    <w:rsid w:val="00746724"/>
    <w:rsid w:val="00746A82"/>
    <w:rsid w:val="00746C38"/>
    <w:rsid w:val="00747289"/>
    <w:rsid w:val="007472E7"/>
    <w:rsid w:val="00747BB0"/>
    <w:rsid w:val="00747CFD"/>
    <w:rsid w:val="007503A3"/>
    <w:rsid w:val="00750D58"/>
    <w:rsid w:val="00751046"/>
    <w:rsid w:val="00751638"/>
    <w:rsid w:val="00751E01"/>
    <w:rsid w:val="00752814"/>
    <w:rsid w:val="00752A06"/>
    <w:rsid w:val="00752B24"/>
    <w:rsid w:val="00753482"/>
    <w:rsid w:val="0075381E"/>
    <w:rsid w:val="00753A31"/>
    <w:rsid w:val="00753E03"/>
    <w:rsid w:val="00753F1E"/>
    <w:rsid w:val="0075498C"/>
    <w:rsid w:val="00754AA4"/>
    <w:rsid w:val="00754EB9"/>
    <w:rsid w:val="00755022"/>
    <w:rsid w:val="007552C5"/>
    <w:rsid w:val="0075536F"/>
    <w:rsid w:val="00755498"/>
    <w:rsid w:val="00755AB6"/>
    <w:rsid w:val="00755D23"/>
    <w:rsid w:val="00755D73"/>
    <w:rsid w:val="00755DAA"/>
    <w:rsid w:val="00756397"/>
    <w:rsid w:val="0075644B"/>
    <w:rsid w:val="00756A87"/>
    <w:rsid w:val="00756BF4"/>
    <w:rsid w:val="00757254"/>
    <w:rsid w:val="007578B2"/>
    <w:rsid w:val="007611C3"/>
    <w:rsid w:val="00761253"/>
    <w:rsid w:val="007613F0"/>
    <w:rsid w:val="00761852"/>
    <w:rsid w:val="00762757"/>
    <w:rsid w:val="0076298F"/>
    <w:rsid w:val="00762B90"/>
    <w:rsid w:val="00763B94"/>
    <w:rsid w:val="00763E51"/>
    <w:rsid w:val="0076440B"/>
    <w:rsid w:val="00764F3A"/>
    <w:rsid w:val="007650A1"/>
    <w:rsid w:val="007653D4"/>
    <w:rsid w:val="00765614"/>
    <w:rsid w:val="00765719"/>
    <w:rsid w:val="00765741"/>
    <w:rsid w:val="007657D7"/>
    <w:rsid w:val="00765FD1"/>
    <w:rsid w:val="00766857"/>
    <w:rsid w:val="00766905"/>
    <w:rsid w:val="00766DA5"/>
    <w:rsid w:val="00767D64"/>
    <w:rsid w:val="0077063D"/>
    <w:rsid w:val="007707AA"/>
    <w:rsid w:val="007707B8"/>
    <w:rsid w:val="0077082A"/>
    <w:rsid w:val="007710F9"/>
    <w:rsid w:val="007711C2"/>
    <w:rsid w:val="00771216"/>
    <w:rsid w:val="007714E2"/>
    <w:rsid w:val="007719A3"/>
    <w:rsid w:val="00771BC6"/>
    <w:rsid w:val="00772190"/>
    <w:rsid w:val="0077233D"/>
    <w:rsid w:val="0077308C"/>
    <w:rsid w:val="00773283"/>
    <w:rsid w:val="00773CE3"/>
    <w:rsid w:val="00774266"/>
    <w:rsid w:val="007747FC"/>
    <w:rsid w:val="00774F50"/>
    <w:rsid w:val="00776295"/>
    <w:rsid w:val="0077672F"/>
    <w:rsid w:val="007772F8"/>
    <w:rsid w:val="00777783"/>
    <w:rsid w:val="00777F30"/>
    <w:rsid w:val="00780308"/>
    <w:rsid w:val="00780826"/>
    <w:rsid w:val="007808ED"/>
    <w:rsid w:val="00780DFE"/>
    <w:rsid w:val="00781238"/>
    <w:rsid w:val="00781688"/>
    <w:rsid w:val="007818C1"/>
    <w:rsid w:val="007819FE"/>
    <w:rsid w:val="00781FF1"/>
    <w:rsid w:val="007825B9"/>
    <w:rsid w:val="00782D55"/>
    <w:rsid w:val="0078309C"/>
    <w:rsid w:val="007834A6"/>
    <w:rsid w:val="007834EB"/>
    <w:rsid w:val="00784168"/>
    <w:rsid w:val="007843FC"/>
    <w:rsid w:val="007847A1"/>
    <w:rsid w:val="00784D5E"/>
    <w:rsid w:val="00785018"/>
    <w:rsid w:val="0078504E"/>
    <w:rsid w:val="007853AE"/>
    <w:rsid w:val="0078541C"/>
    <w:rsid w:val="00785433"/>
    <w:rsid w:val="0078546E"/>
    <w:rsid w:val="00785878"/>
    <w:rsid w:val="00785C24"/>
    <w:rsid w:val="00785C59"/>
    <w:rsid w:val="007860C8"/>
    <w:rsid w:val="007866A7"/>
    <w:rsid w:val="00786993"/>
    <w:rsid w:val="00786B16"/>
    <w:rsid w:val="00786BA5"/>
    <w:rsid w:val="00787803"/>
    <w:rsid w:val="007900A6"/>
    <w:rsid w:val="0079018A"/>
    <w:rsid w:val="00790317"/>
    <w:rsid w:val="007903F5"/>
    <w:rsid w:val="007909BA"/>
    <w:rsid w:val="00791308"/>
    <w:rsid w:val="00791953"/>
    <w:rsid w:val="00791B12"/>
    <w:rsid w:val="00791CFE"/>
    <w:rsid w:val="0079255E"/>
    <w:rsid w:val="00792D10"/>
    <w:rsid w:val="00792FDF"/>
    <w:rsid w:val="00793DBC"/>
    <w:rsid w:val="00794543"/>
    <w:rsid w:val="007949D5"/>
    <w:rsid w:val="00794F3F"/>
    <w:rsid w:val="00795211"/>
    <w:rsid w:val="007953C7"/>
    <w:rsid w:val="0079574D"/>
    <w:rsid w:val="0079590B"/>
    <w:rsid w:val="00795A5A"/>
    <w:rsid w:val="00795C5F"/>
    <w:rsid w:val="007973F9"/>
    <w:rsid w:val="00797B0D"/>
    <w:rsid w:val="00797B62"/>
    <w:rsid w:val="00797F2A"/>
    <w:rsid w:val="007A03BC"/>
    <w:rsid w:val="007A07A5"/>
    <w:rsid w:val="007A0C2E"/>
    <w:rsid w:val="007A13F7"/>
    <w:rsid w:val="007A1689"/>
    <w:rsid w:val="007A1952"/>
    <w:rsid w:val="007A1F62"/>
    <w:rsid w:val="007A2119"/>
    <w:rsid w:val="007A237B"/>
    <w:rsid w:val="007A23D2"/>
    <w:rsid w:val="007A2859"/>
    <w:rsid w:val="007A320A"/>
    <w:rsid w:val="007A3B73"/>
    <w:rsid w:val="007A3EF7"/>
    <w:rsid w:val="007A3FFB"/>
    <w:rsid w:val="007A4474"/>
    <w:rsid w:val="007A46FF"/>
    <w:rsid w:val="007A6407"/>
    <w:rsid w:val="007A6501"/>
    <w:rsid w:val="007A6759"/>
    <w:rsid w:val="007A693B"/>
    <w:rsid w:val="007A7077"/>
    <w:rsid w:val="007A721E"/>
    <w:rsid w:val="007A72E0"/>
    <w:rsid w:val="007A743B"/>
    <w:rsid w:val="007A74F3"/>
    <w:rsid w:val="007A7961"/>
    <w:rsid w:val="007A7ACE"/>
    <w:rsid w:val="007A7C3F"/>
    <w:rsid w:val="007A7DA8"/>
    <w:rsid w:val="007B070D"/>
    <w:rsid w:val="007B0A69"/>
    <w:rsid w:val="007B158C"/>
    <w:rsid w:val="007B17EE"/>
    <w:rsid w:val="007B1CC2"/>
    <w:rsid w:val="007B248A"/>
    <w:rsid w:val="007B270A"/>
    <w:rsid w:val="007B291D"/>
    <w:rsid w:val="007B2FDE"/>
    <w:rsid w:val="007B30D4"/>
    <w:rsid w:val="007B34FF"/>
    <w:rsid w:val="007B3A8E"/>
    <w:rsid w:val="007B3F24"/>
    <w:rsid w:val="007B41BA"/>
    <w:rsid w:val="007B4C08"/>
    <w:rsid w:val="007B5382"/>
    <w:rsid w:val="007B5B76"/>
    <w:rsid w:val="007B5B96"/>
    <w:rsid w:val="007B6190"/>
    <w:rsid w:val="007B62B6"/>
    <w:rsid w:val="007B68B7"/>
    <w:rsid w:val="007B6A9B"/>
    <w:rsid w:val="007B6DE4"/>
    <w:rsid w:val="007B73CD"/>
    <w:rsid w:val="007C0124"/>
    <w:rsid w:val="007C03D3"/>
    <w:rsid w:val="007C0599"/>
    <w:rsid w:val="007C0901"/>
    <w:rsid w:val="007C0A3D"/>
    <w:rsid w:val="007C170E"/>
    <w:rsid w:val="007C1777"/>
    <w:rsid w:val="007C178D"/>
    <w:rsid w:val="007C17C3"/>
    <w:rsid w:val="007C19CB"/>
    <w:rsid w:val="007C1B2E"/>
    <w:rsid w:val="007C224F"/>
    <w:rsid w:val="007C24DD"/>
    <w:rsid w:val="007C28A9"/>
    <w:rsid w:val="007C3149"/>
    <w:rsid w:val="007C3285"/>
    <w:rsid w:val="007C37B8"/>
    <w:rsid w:val="007C3A7A"/>
    <w:rsid w:val="007C3CE2"/>
    <w:rsid w:val="007C3F20"/>
    <w:rsid w:val="007C4533"/>
    <w:rsid w:val="007C4B0C"/>
    <w:rsid w:val="007C5054"/>
    <w:rsid w:val="007C51D0"/>
    <w:rsid w:val="007C581C"/>
    <w:rsid w:val="007C5AE8"/>
    <w:rsid w:val="007C60D4"/>
    <w:rsid w:val="007C64C8"/>
    <w:rsid w:val="007C6591"/>
    <w:rsid w:val="007C666A"/>
    <w:rsid w:val="007C75C7"/>
    <w:rsid w:val="007C7A93"/>
    <w:rsid w:val="007D015C"/>
    <w:rsid w:val="007D07B9"/>
    <w:rsid w:val="007D0AA0"/>
    <w:rsid w:val="007D0F7C"/>
    <w:rsid w:val="007D185A"/>
    <w:rsid w:val="007D1ECE"/>
    <w:rsid w:val="007D25ED"/>
    <w:rsid w:val="007D2604"/>
    <w:rsid w:val="007D2FF4"/>
    <w:rsid w:val="007D33DD"/>
    <w:rsid w:val="007D3433"/>
    <w:rsid w:val="007D3A1A"/>
    <w:rsid w:val="007D3EAC"/>
    <w:rsid w:val="007D3F07"/>
    <w:rsid w:val="007D44E8"/>
    <w:rsid w:val="007D49B1"/>
    <w:rsid w:val="007D5053"/>
    <w:rsid w:val="007D54D4"/>
    <w:rsid w:val="007D5570"/>
    <w:rsid w:val="007D5BAC"/>
    <w:rsid w:val="007D5C12"/>
    <w:rsid w:val="007D5C3E"/>
    <w:rsid w:val="007D616F"/>
    <w:rsid w:val="007D6B27"/>
    <w:rsid w:val="007D6EF1"/>
    <w:rsid w:val="007D6F00"/>
    <w:rsid w:val="007D7775"/>
    <w:rsid w:val="007E0BE0"/>
    <w:rsid w:val="007E0C16"/>
    <w:rsid w:val="007E1348"/>
    <w:rsid w:val="007E1535"/>
    <w:rsid w:val="007E18CB"/>
    <w:rsid w:val="007E1CFE"/>
    <w:rsid w:val="007E1DC2"/>
    <w:rsid w:val="007E243D"/>
    <w:rsid w:val="007E2626"/>
    <w:rsid w:val="007E2D9C"/>
    <w:rsid w:val="007E2DB6"/>
    <w:rsid w:val="007E2FD7"/>
    <w:rsid w:val="007E30A7"/>
    <w:rsid w:val="007E32EC"/>
    <w:rsid w:val="007E3869"/>
    <w:rsid w:val="007E4A50"/>
    <w:rsid w:val="007E53A0"/>
    <w:rsid w:val="007E55B0"/>
    <w:rsid w:val="007E5766"/>
    <w:rsid w:val="007E5A10"/>
    <w:rsid w:val="007E5A56"/>
    <w:rsid w:val="007E5C23"/>
    <w:rsid w:val="007E5F1B"/>
    <w:rsid w:val="007E601B"/>
    <w:rsid w:val="007E61AA"/>
    <w:rsid w:val="007E637D"/>
    <w:rsid w:val="007E63AD"/>
    <w:rsid w:val="007E64B3"/>
    <w:rsid w:val="007E6A76"/>
    <w:rsid w:val="007E7D1A"/>
    <w:rsid w:val="007F0618"/>
    <w:rsid w:val="007F06EE"/>
    <w:rsid w:val="007F0A42"/>
    <w:rsid w:val="007F0B77"/>
    <w:rsid w:val="007F2310"/>
    <w:rsid w:val="007F232D"/>
    <w:rsid w:val="007F3EE7"/>
    <w:rsid w:val="007F4505"/>
    <w:rsid w:val="007F4560"/>
    <w:rsid w:val="007F4775"/>
    <w:rsid w:val="007F495B"/>
    <w:rsid w:val="007F4B14"/>
    <w:rsid w:val="007F4EB8"/>
    <w:rsid w:val="007F507E"/>
    <w:rsid w:val="007F5A1B"/>
    <w:rsid w:val="007F5B77"/>
    <w:rsid w:val="007F602E"/>
    <w:rsid w:val="007F6693"/>
    <w:rsid w:val="007F66EA"/>
    <w:rsid w:val="007F6A39"/>
    <w:rsid w:val="007F6C44"/>
    <w:rsid w:val="007F7036"/>
    <w:rsid w:val="007F7547"/>
    <w:rsid w:val="007F76F0"/>
    <w:rsid w:val="007F7A65"/>
    <w:rsid w:val="007F7E1C"/>
    <w:rsid w:val="0080080D"/>
    <w:rsid w:val="008008B1"/>
    <w:rsid w:val="00800D2A"/>
    <w:rsid w:val="00801064"/>
    <w:rsid w:val="0080118A"/>
    <w:rsid w:val="0080136F"/>
    <w:rsid w:val="00801870"/>
    <w:rsid w:val="008019BD"/>
    <w:rsid w:val="00801D46"/>
    <w:rsid w:val="00802461"/>
    <w:rsid w:val="008025B3"/>
    <w:rsid w:val="00802781"/>
    <w:rsid w:val="00802AAA"/>
    <w:rsid w:val="00802FA9"/>
    <w:rsid w:val="00803344"/>
    <w:rsid w:val="0080344D"/>
    <w:rsid w:val="008034E7"/>
    <w:rsid w:val="0080355E"/>
    <w:rsid w:val="00803B10"/>
    <w:rsid w:val="00803E52"/>
    <w:rsid w:val="00804070"/>
    <w:rsid w:val="0080417A"/>
    <w:rsid w:val="00804262"/>
    <w:rsid w:val="00804488"/>
    <w:rsid w:val="00804A02"/>
    <w:rsid w:val="00805061"/>
    <w:rsid w:val="00805904"/>
    <w:rsid w:val="00806271"/>
    <w:rsid w:val="008065DB"/>
    <w:rsid w:val="00806831"/>
    <w:rsid w:val="0080683F"/>
    <w:rsid w:val="00806DA5"/>
    <w:rsid w:val="00806EFE"/>
    <w:rsid w:val="00806F4F"/>
    <w:rsid w:val="008073E6"/>
    <w:rsid w:val="008074F6"/>
    <w:rsid w:val="00807F6D"/>
    <w:rsid w:val="0081079E"/>
    <w:rsid w:val="00810915"/>
    <w:rsid w:val="00810D7F"/>
    <w:rsid w:val="008110F7"/>
    <w:rsid w:val="00811A7C"/>
    <w:rsid w:val="00811C3D"/>
    <w:rsid w:val="00811CA5"/>
    <w:rsid w:val="00812005"/>
    <w:rsid w:val="008120CD"/>
    <w:rsid w:val="00812B69"/>
    <w:rsid w:val="0081300E"/>
    <w:rsid w:val="008131E5"/>
    <w:rsid w:val="00813552"/>
    <w:rsid w:val="0081445B"/>
    <w:rsid w:val="008149AD"/>
    <w:rsid w:val="00814F9A"/>
    <w:rsid w:val="008150A8"/>
    <w:rsid w:val="00815484"/>
    <w:rsid w:val="008156A0"/>
    <w:rsid w:val="0081626E"/>
    <w:rsid w:val="00816867"/>
    <w:rsid w:val="00816D6F"/>
    <w:rsid w:val="008172B6"/>
    <w:rsid w:val="00817476"/>
    <w:rsid w:val="0081748A"/>
    <w:rsid w:val="008174C9"/>
    <w:rsid w:val="0081767B"/>
    <w:rsid w:val="00817A2F"/>
    <w:rsid w:val="00817A39"/>
    <w:rsid w:val="00817C6C"/>
    <w:rsid w:val="00817DA9"/>
    <w:rsid w:val="00817F99"/>
    <w:rsid w:val="00817FE2"/>
    <w:rsid w:val="0082036C"/>
    <w:rsid w:val="008203BD"/>
    <w:rsid w:val="00820467"/>
    <w:rsid w:val="00820CEF"/>
    <w:rsid w:val="008216C6"/>
    <w:rsid w:val="00821F51"/>
    <w:rsid w:val="008220BB"/>
    <w:rsid w:val="008222DA"/>
    <w:rsid w:val="00822321"/>
    <w:rsid w:val="00822732"/>
    <w:rsid w:val="00822886"/>
    <w:rsid w:val="00822AE0"/>
    <w:rsid w:val="008231AF"/>
    <w:rsid w:val="00823448"/>
    <w:rsid w:val="0082377A"/>
    <w:rsid w:val="00823898"/>
    <w:rsid w:val="008241FF"/>
    <w:rsid w:val="00825207"/>
    <w:rsid w:val="0082549E"/>
    <w:rsid w:val="00825F61"/>
    <w:rsid w:val="0082602A"/>
    <w:rsid w:val="00826267"/>
    <w:rsid w:val="008269CC"/>
    <w:rsid w:val="00826A5C"/>
    <w:rsid w:val="00826AE3"/>
    <w:rsid w:val="00826F1E"/>
    <w:rsid w:val="00827330"/>
    <w:rsid w:val="008275A2"/>
    <w:rsid w:val="00827C7C"/>
    <w:rsid w:val="00827D44"/>
    <w:rsid w:val="00827E05"/>
    <w:rsid w:val="00830088"/>
    <w:rsid w:val="00830727"/>
    <w:rsid w:val="00830F52"/>
    <w:rsid w:val="0083143E"/>
    <w:rsid w:val="008317A7"/>
    <w:rsid w:val="00832084"/>
    <w:rsid w:val="00832293"/>
    <w:rsid w:val="008322F7"/>
    <w:rsid w:val="00832A0E"/>
    <w:rsid w:val="00832C77"/>
    <w:rsid w:val="00832DC7"/>
    <w:rsid w:val="00833956"/>
    <w:rsid w:val="00833C2C"/>
    <w:rsid w:val="00834368"/>
    <w:rsid w:val="00834410"/>
    <w:rsid w:val="00834C9C"/>
    <w:rsid w:val="00834D0F"/>
    <w:rsid w:val="00834ED3"/>
    <w:rsid w:val="00834F1C"/>
    <w:rsid w:val="00834F91"/>
    <w:rsid w:val="008359F5"/>
    <w:rsid w:val="00835ADD"/>
    <w:rsid w:val="00835E23"/>
    <w:rsid w:val="0083601A"/>
    <w:rsid w:val="00836401"/>
    <w:rsid w:val="00836696"/>
    <w:rsid w:val="00836757"/>
    <w:rsid w:val="00836ADE"/>
    <w:rsid w:val="00836B63"/>
    <w:rsid w:val="00837294"/>
    <w:rsid w:val="0083747A"/>
    <w:rsid w:val="00837A81"/>
    <w:rsid w:val="00837C73"/>
    <w:rsid w:val="00840226"/>
    <w:rsid w:val="0084055C"/>
    <w:rsid w:val="00840C53"/>
    <w:rsid w:val="008415B4"/>
    <w:rsid w:val="008416F8"/>
    <w:rsid w:val="008417E5"/>
    <w:rsid w:val="00841B3F"/>
    <w:rsid w:val="008425A1"/>
    <w:rsid w:val="00842C8A"/>
    <w:rsid w:val="008430C2"/>
    <w:rsid w:val="0084381D"/>
    <w:rsid w:val="00843866"/>
    <w:rsid w:val="008438A6"/>
    <w:rsid w:val="00843A76"/>
    <w:rsid w:val="00843D8E"/>
    <w:rsid w:val="00843EE9"/>
    <w:rsid w:val="00844183"/>
    <w:rsid w:val="008441B2"/>
    <w:rsid w:val="0084457B"/>
    <w:rsid w:val="00844654"/>
    <w:rsid w:val="008448F5"/>
    <w:rsid w:val="00844920"/>
    <w:rsid w:val="00845A40"/>
    <w:rsid w:val="00845B0E"/>
    <w:rsid w:val="00845D64"/>
    <w:rsid w:val="00846158"/>
    <w:rsid w:val="00846865"/>
    <w:rsid w:val="00846E96"/>
    <w:rsid w:val="008470B7"/>
    <w:rsid w:val="00847F6E"/>
    <w:rsid w:val="008501D4"/>
    <w:rsid w:val="008502C3"/>
    <w:rsid w:val="00851FD9"/>
    <w:rsid w:val="008520F2"/>
    <w:rsid w:val="00852511"/>
    <w:rsid w:val="008525C4"/>
    <w:rsid w:val="00852685"/>
    <w:rsid w:val="008527B1"/>
    <w:rsid w:val="008532AE"/>
    <w:rsid w:val="008535FB"/>
    <w:rsid w:val="008544BB"/>
    <w:rsid w:val="00854B82"/>
    <w:rsid w:val="00854CD8"/>
    <w:rsid w:val="008550C4"/>
    <w:rsid w:val="00855289"/>
    <w:rsid w:val="0085530A"/>
    <w:rsid w:val="00855358"/>
    <w:rsid w:val="008555EB"/>
    <w:rsid w:val="00855857"/>
    <w:rsid w:val="008558BE"/>
    <w:rsid w:val="00855C44"/>
    <w:rsid w:val="008560E8"/>
    <w:rsid w:val="00856488"/>
    <w:rsid w:val="00856979"/>
    <w:rsid w:val="00856DE1"/>
    <w:rsid w:val="00856ED7"/>
    <w:rsid w:val="008575BA"/>
    <w:rsid w:val="00860469"/>
    <w:rsid w:val="008605D4"/>
    <w:rsid w:val="00860635"/>
    <w:rsid w:val="0086123F"/>
    <w:rsid w:val="00861555"/>
    <w:rsid w:val="008616C3"/>
    <w:rsid w:val="008619D4"/>
    <w:rsid w:val="00861D64"/>
    <w:rsid w:val="0086272F"/>
    <w:rsid w:val="00862EBF"/>
    <w:rsid w:val="00863682"/>
    <w:rsid w:val="00863C6A"/>
    <w:rsid w:val="00863F4D"/>
    <w:rsid w:val="008640EA"/>
    <w:rsid w:val="008646C3"/>
    <w:rsid w:val="00865EE1"/>
    <w:rsid w:val="0086682F"/>
    <w:rsid w:val="00866977"/>
    <w:rsid w:val="008669B0"/>
    <w:rsid w:val="0086705B"/>
    <w:rsid w:val="008672FB"/>
    <w:rsid w:val="00870746"/>
    <w:rsid w:val="008707DD"/>
    <w:rsid w:val="00870D8E"/>
    <w:rsid w:val="00870F28"/>
    <w:rsid w:val="0087107F"/>
    <w:rsid w:val="008713FC"/>
    <w:rsid w:val="008714BB"/>
    <w:rsid w:val="00871716"/>
    <w:rsid w:val="0087171D"/>
    <w:rsid w:val="0087178C"/>
    <w:rsid w:val="0087221D"/>
    <w:rsid w:val="0087248B"/>
    <w:rsid w:val="008725A0"/>
    <w:rsid w:val="008731B3"/>
    <w:rsid w:val="00873885"/>
    <w:rsid w:val="00874249"/>
    <w:rsid w:val="0087496F"/>
    <w:rsid w:val="00874983"/>
    <w:rsid w:val="0087513A"/>
    <w:rsid w:val="0087514B"/>
    <w:rsid w:val="008756BD"/>
    <w:rsid w:val="0087584B"/>
    <w:rsid w:val="00875C55"/>
    <w:rsid w:val="00875FAE"/>
    <w:rsid w:val="008762F2"/>
    <w:rsid w:val="008765DC"/>
    <w:rsid w:val="00876637"/>
    <w:rsid w:val="00876800"/>
    <w:rsid w:val="00876DCF"/>
    <w:rsid w:val="008770BE"/>
    <w:rsid w:val="00877CD0"/>
    <w:rsid w:val="008810CD"/>
    <w:rsid w:val="00881325"/>
    <w:rsid w:val="008816EA"/>
    <w:rsid w:val="00881726"/>
    <w:rsid w:val="00881F8A"/>
    <w:rsid w:val="00881F93"/>
    <w:rsid w:val="00882365"/>
    <w:rsid w:val="0088247E"/>
    <w:rsid w:val="008824C1"/>
    <w:rsid w:val="0088264C"/>
    <w:rsid w:val="00882699"/>
    <w:rsid w:val="00882C97"/>
    <w:rsid w:val="00882CC4"/>
    <w:rsid w:val="008834A6"/>
    <w:rsid w:val="00883930"/>
    <w:rsid w:val="00883C12"/>
    <w:rsid w:val="00883F83"/>
    <w:rsid w:val="00884137"/>
    <w:rsid w:val="008855C1"/>
    <w:rsid w:val="00885964"/>
    <w:rsid w:val="00885AEA"/>
    <w:rsid w:val="00885D8B"/>
    <w:rsid w:val="008861A0"/>
    <w:rsid w:val="00886204"/>
    <w:rsid w:val="00886B76"/>
    <w:rsid w:val="00886CCD"/>
    <w:rsid w:val="0088735F"/>
    <w:rsid w:val="008874F9"/>
    <w:rsid w:val="008876A1"/>
    <w:rsid w:val="00887768"/>
    <w:rsid w:val="00887791"/>
    <w:rsid w:val="008879A5"/>
    <w:rsid w:val="00887CDA"/>
    <w:rsid w:val="0089028D"/>
    <w:rsid w:val="00890332"/>
    <w:rsid w:val="00890452"/>
    <w:rsid w:val="00890C38"/>
    <w:rsid w:val="00890E81"/>
    <w:rsid w:val="0089134E"/>
    <w:rsid w:val="00891CD3"/>
    <w:rsid w:val="00891D6D"/>
    <w:rsid w:val="00892189"/>
    <w:rsid w:val="00892453"/>
    <w:rsid w:val="00892E51"/>
    <w:rsid w:val="00893577"/>
    <w:rsid w:val="00893672"/>
    <w:rsid w:val="00894091"/>
    <w:rsid w:val="0089410B"/>
    <w:rsid w:val="00894125"/>
    <w:rsid w:val="008944FF"/>
    <w:rsid w:val="00894505"/>
    <w:rsid w:val="00895229"/>
    <w:rsid w:val="00895459"/>
    <w:rsid w:val="00895AB3"/>
    <w:rsid w:val="00895AD3"/>
    <w:rsid w:val="00895FC4"/>
    <w:rsid w:val="00896614"/>
    <w:rsid w:val="00897876"/>
    <w:rsid w:val="00897E5A"/>
    <w:rsid w:val="008A0388"/>
    <w:rsid w:val="008A042A"/>
    <w:rsid w:val="008A0473"/>
    <w:rsid w:val="008A07CF"/>
    <w:rsid w:val="008A0BBC"/>
    <w:rsid w:val="008A1693"/>
    <w:rsid w:val="008A1BBE"/>
    <w:rsid w:val="008A1DAC"/>
    <w:rsid w:val="008A1E3E"/>
    <w:rsid w:val="008A2A9C"/>
    <w:rsid w:val="008A2D38"/>
    <w:rsid w:val="008A30EA"/>
    <w:rsid w:val="008A369C"/>
    <w:rsid w:val="008A3CD0"/>
    <w:rsid w:val="008A43AC"/>
    <w:rsid w:val="008A55AE"/>
    <w:rsid w:val="008A5D15"/>
    <w:rsid w:val="008A5D48"/>
    <w:rsid w:val="008A65FD"/>
    <w:rsid w:val="008A68A2"/>
    <w:rsid w:val="008A79AF"/>
    <w:rsid w:val="008A7A6D"/>
    <w:rsid w:val="008A7AC8"/>
    <w:rsid w:val="008B078A"/>
    <w:rsid w:val="008B0903"/>
    <w:rsid w:val="008B0A02"/>
    <w:rsid w:val="008B0A19"/>
    <w:rsid w:val="008B0BF1"/>
    <w:rsid w:val="008B0D0B"/>
    <w:rsid w:val="008B1172"/>
    <w:rsid w:val="008B1315"/>
    <w:rsid w:val="008B217E"/>
    <w:rsid w:val="008B21C5"/>
    <w:rsid w:val="008B25ED"/>
    <w:rsid w:val="008B284D"/>
    <w:rsid w:val="008B312C"/>
    <w:rsid w:val="008B31DC"/>
    <w:rsid w:val="008B37FA"/>
    <w:rsid w:val="008B5421"/>
    <w:rsid w:val="008B58A9"/>
    <w:rsid w:val="008B67F0"/>
    <w:rsid w:val="008B6A02"/>
    <w:rsid w:val="008B6D85"/>
    <w:rsid w:val="008B6D93"/>
    <w:rsid w:val="008B6DFD"/>
    <w:rsid w:val="008B6E39"/>
    <w:rsid w:val="008B6FEB"/>
    <w:rsid w:val="008B7826"/>
    <w:rsid w:val="008B79FE"/>
    <w:rsid w:val="008C0663"/>
    <w:rsid w:val="008C07D6"/>
    <w:rsid w:val="008C0D09"/>
    <w:rsid w:val="008C0FF2"/>
    <w:rsid w:val="008C15BD"/>
    <w:rsid w:val="008C1AA5"/>
    <w:rsid w:val="008C2378"/>
    <w:rsid w:val="008C2567"/>
    <w:rsid w:val="008C2C15"/>
    <w:rsid w:val="008C2D16"/>
    <w:rsid w:val="008C2F10"/>
    <w:rsid w:val="008C30F4"/>
    <w:rsid w:val="008C32CE"/>
    <w:rsid w:val="008C3483"/>
    <w:rsid w:val="008C3A0E"/>
    <w:rsid w:val="008C3B34"/>
    <w:rsid w:val="008C407E"/>
    <w:rsid w:val="008C543A"/>
    <w:rsid w:val="008C584E"/>
    <w:rsid w:val="008C59B9"/>
    <w:rsid w:val="008C59D6"/>
    <w:rsid w:val="008C5B15"/>
    <w:rsid w:val="008C6523"/>
    <w:rsid w:val="008C654B"/>
    <w:rsid w:val="008C6678"/>
    <w:rsid w:val="008C6699"/>
    <w:rsid w:val="008C69C2"/>
    <w:rsid w:val="008C6F5B"/>
    <w:rsid w:val="008C71DD"/>
    <w:rsid w:val="008C7334"/>
    <w:rsid w:val="008C7777"/>
    <w:rsid w:val="008C7C68"/>
    <w:rsid w:val="008C7DC1"/>
    <w:rsid w:val="008D03A4"/>
    <w:rsid w:val="008D04BB"/>
    <w:rsid w:val="008D04DF"/>
    <w:rsid w:val="008D0B63"/>
    <w:rsid w:val="008D0BFA"/>
    <w:rsid w:val="008D0C18"/>
    <w:rsid w:val="008D0D8A"/>
    <w:rsid w:val="008D21CB"/>
    <w:rsid w:val="008D231F"/>
    <w:rsid w:val="008D2713"/>
    <w:rsid w:val="008D2C94"/>
    <w:rsid w:val="008D2D16"/>
    <w:rsid w:val="008D2F3D"/>
    <w:rsid w:val="008D3117"/>
    <w:rsid w:val="008D318E"/>
    <w:rsid w:val="008D3C04"/>
    <w:rsid w:val="008D3C49"/>
    <w:rsid w:val="008D3FB7"/>
    <w:rsid w:val="008D4300"/>
    <w:rsid w:val="008D484F"/>
    <w:rsid w:val="008D4926"/>
    <w:rsid w:val="008D4C2E"/>
    <w:rsid w:val="008D530A"/>
    <w:rsid w:val="008D53DD"/>
    <w:rsid w:val="008D5B61"/>
    <w:rsid w:val="008D6537"/>
    <w:rsid w:val="008D6731"/>
    <w:rsid w:val="008D67B2"/>
    <w:rsid w:val="008D68E4"/>
    <w:rsid w:val="008D6ADC"/>
    <w:rsid w:val="008D6CAB"/>
    <w:rsid w:val="008D7718"/>
    <w:rsid w:val="008D7930"/>
    <w:rsid w:val="008D7F25"/>
    <w:rsid w:val="008E008B"/>
    <w:rsid w:val="008E0CDC"/>
    <w:rsid w:val="008E109D"/>
    <w:rsid w:val="008E1281"/>
    <w:rsid w:val="008E192B"/>
    <w:rsid w:val="008E192C"/>
    <w:rsid w:val="008E1DAE"/>
    <w:rsid w:val="008E1DCB"/>
    <w:rsid w:val="008E23E8"/>
    <w:rsid w:val="008E2491"/>
    <w:rsid w:val="008E2BAC"/>
    <w:rsid w:val="008E2DD3"/>
    <w:rsid w:val="008E2ED7"/>
    <w:rsid w:val="008E34AD"/>
    <w:rsid w:val="008E3800"/>
    <w:rsid w:val="008E399C"/>
    <w:rsid w:val="008E4226"/>
    <w:rsid w:val="008E424C"/>
    <w:rsid w:val="008E44DC"/>
    <w:rsid w:val="008E4C92"/>
    <w:rsid w:val="008E54C6"/>
    <w:rsid w:val="008E58E6"/>
    <w:rsid w:val="008E5A3C"/>
    <w:rsid w:val="008E5E86"/>
    <w:rsid w:val="008E6547"/>
    <w:rsid w:val="008E69AA"/>
    <w:rsid w:val="008E6D7A"/>
    <w:rsid w:val="008E7412"/>
    <w:rsid w:val="008E78AB"/>
    <w:rsid w:val="008E7E44"/>
    <w:rsid w:val="008E7F45"/>
    <w:rsid w:val="008F045D"/>
    <w:rsid w:val="008F062E"/>
    <w:rsid w:val="008F06AD"/>
    <w:rsid w:val="008F0D2B"/>
    <w:rsid w:val="008F13DA"/>
    <w:rsid w:val="008F1CD3"/>
    <w:rsid w:val="008F228A"/>
    <w:rsid w:val="008F2478"/>
    <w:rsid w:val="008F2547"/>
    <w:rsid w:val="008F2943"/>
    <w:rsid w:val="008F4BE0"/>
    <w:rsid w:val="008F4E2D"/>
    <w:rsid w:val="008F57C5"/>
    <w:rsid w:val="008F614E"/>
    <w:rsid w:val="008F63DE"/>
    <w:rsid w:val="008F63F2"/>
    <w:rsid w:val="008F6C76"/>
    <w:rsid w:val="008F7091"/>
    <w:rsid w:val="008F718C"/>
    <w:rsid w:val="008F755E"/>
    <w:rsid w:val="008F7ECC"/>
    <w:rsid w:val="00900068"/>
    <w:rsid w:val="00900097"/>
    <w:rsid w:val="00900189"/>
    <w:rsid w:val="0090024D"/>
    <w:rsid w:val="00900841"/>
    <w:rsid w:val="0090110B"/>
    <w:rsid w:val="00901518"/>
    <w:rsid w:val="00901961"/>
    <w:rsid w:val="00901B30"/>
    <w:rsid w:val="00901E60"/>
    <w:rsid w:val="009029E4"/>
    <w:rsid w:val="00903134"/>
    <w:rsid w:val="00903195"/>
    <w:rsid w:val="00903A79"/>
    <w:rsid w:val="009044D4"/>
    <w:rsid w:val="00905C5D"/>
    <w:rsid w:val="00906414"/>
    <w:rsid w:val="00906942"/>
    <w:rsid w:val="00906CC3"/>
    <w:rsid w:val="009072E1"/>
    <w:rsid w:val="00907D7D"/>
    <w:rsid w:val="00907F4C"/>
    <w:rsid w:val="00910049"/>
    <w:rsid w:val="009100FD"/>
    <w:rsid w:val="009101A2"/>
    <w:rsid w:val="009106B2"/>
    <w:rsid w:val="00910EA6"/>
    <w:rsid w:val="009115A3"/>
    <w:rsid w:val="009115CC"/>
    <w:rsid w:val="00911805"/>
    <w:rsid w:val="00911A8F"/>
    <w:rsid w:val="0091228B"/>
    <w:rsid w:val="0091250A"/>
    <w:rsid w:val="0091313B"/>
    <w:rsid w:val="009134BD"/>
    <w:rsid w:val="00913648"/>
    <w:rsid w:val="00913CA6"/>
    <w:rsid w:val="00913DF3"/>
    <w:rsid w:val="00914428"/>
    <w:rsid w:val="009148E9"/>
    <w:rsid w:val="00915456"/>
    <w:rsid w:val="00915B9D"/>
    <w:rsid w:val="00915F2E"/>
    <w:rsid w:val="0091602F"/>
    <w:rsid w:val="009166D4"/>
    <w:rsid w:val="00916AA3"/>
    <w:rsid w:val="00917170"/>
    <w:rsid w:val="00920498"/>
    <w:rsid w:val="00920C28"/>
    <w:rsid w:val="00920C8B"/>
    <w:rsid w:val="00920ED0"/>
    <w:rsid w:val="009211E8"/>
    <w:rsid w:val="0092176C"/>
    <w:rsid w:val="00921854"/>
    <w:rsid w:val="009219A5"/>
    <w:rsid w:val="009229E9"/>
    <w:rsid w:val="0092301F"/>
    <w:rsid w:val="00923514"/>
    <w:rsid w:val="0092361F"/>
    <w:rsid w:val="0092364F"/>
    <w:rsid w:val="0092376F"/>
    <w:rsid w:val="00923AA4"/>
    <w:rsid w:val="009240BF"/>
    <w:rsid w:val="0092438D"/>
    <w:rsid w:val="009245D9"/>
    <w:rsid w:val="009248A9"/>
    <w:rsid w:val="00924D9E"/>
    <w:rsid w:val="00924F87"/>
    <w:rsid w:val="0092540B"/>
    <w:rsid w:val="009261FF"/>
    <w:rsid w:val="00926361"/>
    <w:rsid w:val="009266C2"/>
    <w:rsid w:val="00927072"/>
    <w:rsid w:val="009279AC"/>
    <w:rsid w:val="00927A60"/>
    <w:rsid w:val="00930B09"/>
    <w:rsid w:val="009311E7"/>
    <w:rsid w:val="0093149A"/>
    <w:rsid w:val="00931890"/>
    <w:rsid w:val="00931C32"/>
    <w:rsid w:val="00932595"/>
    <w:rsid w:val="009334A2"/>
    <w:rsid w:val="0093360B"/>
    <w:rsid w:val="009336DD"/>
    <w:rsid w:val="009337EB"/>
    <w:rsid w:val="00933A14"/>
    <w:rsid w:val="00934376"/>
    <w:rsid w:val="00934531"/>
    <w:rsid w:val="009348A6"/>
    <w:rsid w:val="00934AB2"/>
    <w:rsid w:val="00935CB4"/>
    <w:rsid w:val="00936281"/>
    <w:rsid w:val="009367F9"/>
    <w:rsid w:val="00936DDB"/>
    <w:rsid w:val="00937732"/>
    <w:rsid w:val="009377AE"/>
    <w:rsid w:val="00937838"/>
    <w:rsid w:val="00937BD9"/>
    <w:rsid w:val="009405FF"/>
    <w:rsid w:val="00940CA8"/>
    <w:rsid w:val="0094135D"/>
    <w:rsid w:val="00941883"/>
    <w:rsid w:val="00941CF9"/>
    <w:rsid w:val="00941D15"/>
    <w:rsid w:val="009422FA"/>
    <w:rsid w:val="00942425"/>
    <w:rsid w:val="00942828"/>
    <w:rsid w:val="00942955"/>
    <w:rsid w:val="00943392"/>
    <w:rsid w:val="00943516"/>
    <w:rsid w:val="00943550"/>
    <w:rsid w:val="0094418E"/>
    <w:rsid w:val="0094443B"/>
    <w:rsid w:val="00944F56"/>
    <w:rsid w:val="00944FF7"/>
    <w:rsid w:val="00945040"/>
    <w:rsid w:val="00945231"/>
    <w:rsid w:val="00945A27"/>
    <w:rsid w:val="00945B5E"/>
    <w:rsid w:val="00946C0A"/>
    <w:rsid w:val="0095033B"/>
    <w:rsid w:val="009503EB"/>
    <w:rsid w:val="0095071E"/>
    <w:rsid w:val="0095121B"/>
    <w:rsid w:val="009519BE"/>
    <w:rsid w:val="00951BFA"/>
    <w:rsid w:val="009520C7"/>
    <w:rsid w:val="00952B44"/>
    <w:rsid w:val="00952D2E"/>
    <w:rsid w:val="009530E0"/>
    <w:rsid w:val="009534CD"/>
    <w:rsid w:val="00953C62"/>
    <w:rsid w:val="0095419B"/>
    <w:rsid w:val="0095424B"/>
    <w:rsid w:val="009542EC"/>
    <w:rsid w:val="0095471E"/>
    <w:rsid w:val="00954FE6"/>
    <w:rsid w:val="009550B1"/>
    <w:rsid w:val="009553C6"/>
    <w:rsid w:val="009554C1"/>
    <w:rsid w:val="00955842"/>
    <w:rsid w:val="0095593E"/>
    <w:rsid w:val="0095597E"/>
    <w:rsid w:val="0095646A"/>
    <w:rsid w:val="00956D4D"/>
    <w:rsid w:val="009571B7"/>
    <w:rsid w:val="009572BE"/>
    <w:rsid w:val="00957469"/>
    <w:rsid w:val="00957518"/>
    <w:rsid w:val="009576EB"/>
    <w:rsid w:val="00957816"/>
    <w:rsid w:val="00957F2A"/>
    <w:rsid w:val="00960307"/>
    <w:rsid w:val="00960477"/>
    <w:rsid w:val="00960596"/>
    <w:rsid w:val="00960C71"/>
    <w:rsid w:val="00960F20"/>
    <w:rsid w:val="009610EC"/>
    <w:rsid w:val="00961723"/>
    <w:rsid w:val="00961848"/>
    <w:rsid w:val="009619D1"/>
    <w:rsid w:val="00961A4A"/>
    <w:rsid w:val="00961C15"/>
    <w:rsid w:val="00962153"/>
    <w:rsid w:val="0096282A"/>
    <w:rsid w:val="00962DDD"/>
    <w:rsid w:val="00962E67"/>
    <w:rsid w:val="00962F42"/>
    <w:rsid w:val="00963DD3"/>
    <w:rsid w:val="00964106"/>
    <w:rsid w:val="00964823"/>
    <w:rsid w:val="00965680"/>
    <w:rsid w:val="00965779"/>
    <w:rsid w:val="00966255"/>
    <w:rsid w:val="0096639D"/>
    <w:rsid w:val="00966AC4"/>
    <w:rsid w:val="00966BDB"/>
    <w:rsid w:val="00966DA5"/>
    <w:rsid w:val="00967137"/>
    <w:rsid w:val="00967245"/>
    <w:rsid w:val="00967473"/>
    <w:rsid w:val="00967E80"/>
    <w:rsid w:val="00970229"/>
    <w:rsid w:val="00970950"/>
    <w:rsid w:val="00970FBA"/>
    <w:rsid w:val="00971253"/>
    <w:rsid w:val="00971349"/>
    <w:rsid w:val="00971460"/>
    <w:rsid w:val="0097179C"/>
    <w:rsid w:val="00971DB7"/>
    <w:rsid w:val="0097210F"/>
    <w:rsid w:val="0097252B"/>
    <w:rsid w:val="00972545"/>
    <w:rsid w:val="00972C94"/>
    <w:rsid w:val="0097317D"/>
    <w:rsid w:val="00973759"/>
    <w:rsid w:val="00973BFB"/>
    <w:rsid w:val="00974241"/>
    <w:rsid w:val="009749C9"/>
    <w:rsid w:val="00974AAE"/>
    <w:rsid w:val="009751E9"/>
    <w:rsid w:val="00975269"/>
    <w:rsid w:val="0097549E"/>
    <w:rsid w:val="009754A3"/>
    <w:rsid w:val="009754DF"/>
    <w:rsid w:val="00975684"/>
    <w:rsid w:val="00975B30"/>
    <w:rsid w:val="00975BD6"/>
    <w:rsid w:val="009760B9"/>
    <w:rsid w:val="00976114"/>
    <w:rsid w:val="009761EB"/>
    <w:rsid w:val="00976243"/>
    <w:rsid w:val="009763F4"/>
    <w:rsid w:val="009766A5"/>
    <w:rsid w:val="00977451"/>
    <w:rsid w:val="009774DE"/>
    <w:rsid w:val="00977A13"/>
    <w:rsid w:val="00977D26"/>
    <w:rsid w:val="009802D3"/>
    <w:rsid w:val="0098052E"/>
    <w:rsid w:val="00980CD3"/>
    <w:rsid w:val="00980EB9"/>
    <w:rsid w:val="009817F8"/>
    <w:rsid w:val="00981827"/>
    <w:rsid w:val="00981A14"/>
    <w:rsid w:val="00981CD6"/>
    <w:rsid w:val="00981FF5"/>
    <w:rsid w:val="009824CC"/>
    <w:rsid w:val="00982D79"/>
    <w:rsid w:val="00983A7B"/>
    <w:rsid w:val="00983CE9"/>
    <w:rsid w:val="009842BC"/>
    <w:rsid w:val="009845D6"/>
    <w:rsid w:val="00984950"/>
    <w:rsid w:val="00984A8A"/>
    <w:rsid w:val="00984B89"/>
    <w:rsid w:val="00984D96"/>
    <w:rsid w:val="00985438"/>
    <w:rsid w:val="00985A5C"/>
    <w:rsid w:val="00985C2F"/>
    <w:rsid w:val="00985E04"/>
    <w:rsid w:val="009861BC"/>
    <w:rsid w:val="00986907"/>
    <w:rsid w:val="00986CCF"/>
    <w:rsid w:val="00986F2C"/>
    <w:rsid w:val="009872DC"/>
    <w:rsid w:val="009904CE"/>
    <w:rsid w:val="009907AE"/>
    <w:rsid w:val="00991573"/>
    <w:rsid w:val="00991BA2"/>
    <w:rsid w:val="00991CBE"/>
    <w:rsid w:val="00992F03"/>
    <w:rsid w:val="00993008"/>
    <w:rsid w:val="00993088"/>
    <w:rsid w:val="009934B3"/>
    <w:rsid w:val="00993C69"/>
    <w:rsid w:val="00993F7A"/>
    <w:rsid w:val="0099406C"/>
    <w:rsid w:val="00994AD3"/>
    <w:rsid w:val="00994D1C"/>
    <w:rsid w:val="009957D4"/>
    <w:rsid w:val="00995859"/>
    <w:rsid w:val="00995F66"/>
    <w:rsid w:val="00996530"/>
    <w:rsid w:val="00996E63"/>
    <w:rsid w:val="00996FC2"/>
    <w:rsid w:val="009979A9"/>
    <w:rsid w:val="009A0FF2"/>
    <w:rsid w:val="009A124D"/>
    <w:rsid w:val="009A13BB"/>
    <w:rsid w:val="009A2093"/>
    <w:rsid w:val="009A2330"/>
    <w:rsid w:val="009A247B"/>
    <w:rsid w:val="009A25FC"/>
    <w:rsid w:val="009A2635"/>
    <w:rsid w:val="009A2678"/>
    <w:rsid w:val="009A2A41"/>
    <w:rsid w:val="009A327E"/>
    <w:rsid w:val="009A336B"/>
    <w:rsid w:val="009A37E7"/>
    <w:rsid w:val="009A3877"/>
    <w:rsid w:val="009A406A"/>
    <w:rsid w:val="009A43B3"/>
    <w:rsid w:val="009A48B3"/>
    <w:rsid w:val="009A4989"/>
    <w:rsid w:val="009A498A"/>
    <w:rsid w:val="009A4A42"/>
    <w:rsid w:val="009A4D7E"/>
    <w:rsid w:val="009A55C4"/>
    <w:rsid w:val="009A5873"/>
    <w:rsid w:val="009A5BF3"/>
    <w:rsid w:val="009A5FDF"/>
    <w:rsid w:val="009A6004"/>
    <w:rsid w:val="009A60DD"/>
    <w:rsid w:val="009A6441"/>
    <w:rsid w:val="009A6996"/>
    <w:rsid w:val="009A6C8C"/>
    <w:rsid w:val="009A706F"/>
    <w:rsid w:val="009A7180"/>
    <w:rsid w:val="009A751F"/>
    <w:rsid w:val="009A771C"/>
    <w:rsid w:val="009A774F"/>
    <w:rsid w:val="009A7E29"/>
    <w:rsid w:val="009A7E5C"/>
    <w:rsid w:val="009A7FE9"/>
    <w:rsid w:val="009B071F"/>
    <w:rsid w:val="009B0F2A"/>
    <w:rsid w:val="009B14F2"/>
    <w:rsid w:val="009B19BA"/>
    <w:rsid w:val="009B1BB1"/>
    <w:rsid w:val="009B1CDD"/>
    <w:rsid w:val="009B2781"/>
    <w:rsid w:val="009B2A4C"/>
    <w:rsid w:val="009B3425"/>
    <w:rsid w:val="009B35D5"/>
    <w:rsid w:val="009B3880"/>
    <w:rsid w:val="009B39B1"/>
    <w:rsid w:val="009B39E3"/>
    <w:rsid w:val="009B3EFC"/>
    <w:rsid w:val="009B461C"/>
    <w:rsid w:val="009B4A3A"/>
    <w:rsid w:val="009B5111"/>
    <w:rsid w:val="009B51A4"/>
    <w:rsid w:val="009B5617"/>
    <w:rsid w:val="009B627B"/>
    <w:rsid w:val="009B62D1"/>
    <w:rsid w:val="009B65FC"/>
    <w:rsid w:val="009B6C2D"/>
    <w:rsid w:val="009B6EAB"/>
    <w:rsid w:val="009B758A"/>
    <w:rsid w:val="009B7AB6"/>
    <w:rsid w:val="009B7B12"/>
    <w:rsid w:val="009B7C6F"/>
    <w:rsid w:val="009B7C8E"/>
    <w:rsid w:val="009B7CA4"/>
    <w:rsid w:val="009B7E50"/>
    <w:rsid w:val="009C00AF"/>
    <w:rsid w:val="009C04A4"/>
    <w:rsid w:val="009C0730"/>
    <w:rsid w:val="009C0BA0"/>
    <w:rsid w:val="009C1193"/>
    <w:rsid w:val="009C11ED"/>
    <w:rsid w:val="009C1A0C"/>
    <w:rsid w:val="009C2078"/>
    <w:rsid w:val="009C22A8"/>
    <w:rsid w:val="009C2BEF"/>
    <w:rsid w:val="009C2C5B"/>
    <w:rsid w:val="009C2D04"/>
    <w:rsid w:val="009C2ECE"/>
    <w:rsid w:val="009C39C8"/>
    <w:rsid w:val="009C40F5"/>
    <w:rsid w:val="009C45C7"/>
    <w:rsid w:val="009C4DBC"/>
    <w:rsid w:val="009C4DE7"/>
    <w:rsid w:val="009C4FFF"/>
    <w:rsid w:val="009C54EE"/>
    <w:rsid w:val="009C5C2A"/>
    <w:rsid w:val="009C6128"/>
    <w:rsid w:val="009C61A1"/>
    <w:rsid w:val="009C6325"/>
    <w:rsid w:val="009C6AE0"/>
    <w:rsid w:val="009C6B65"/>
    <w:rsid w:val="009C6BAB"/>
    <w:rsid w:val="009C6BDF"/>
    <w:rsid w:val="009C6F9E"/>
    <w:rsid w:val="009C7423"/>
    <w:rsid w:val="009C7AB9"/>
    <w:rsid w:val="009C7B04"/>
    <w:rsid w:val="009C7CCA"/>
    <w:rsid w:val="009D0030"/>
    <w:rsid w:val="009D0169"/>
    <w:rsid w:val="009D073D"/>
    <w:rsid w:val="009D1322"/>
    <w:rsid w:val="009D1614"/>
    <w:rsid w:val="009D1E91"/>
    <w:rsid w:val="009D219F"/>
    <w:rsid w:val="009D32D0"/>
    <w:rsid w:val="009D3360"/>
    <w:rsid w:val="009D3387"/>
    <w:rsid w:val="009D35AC"/>
    <w:rsid w:val="009D3934"/>
    <w:rsid w:val="009D39ED"/>
    <w:rsid w:val="009D3B6E"/>
    <w:rsid w:val="009D44B1"/>
    <w:rsid w:val="009D4C3E"/>
    <w:rsid w:val="009D601A"/>
    <w:rsid w:val="009D6532"/>
    <w:rsid w:val="009D6639"/>
    <w:rsid w:val="009D6A2E"/>
    <w:rsid w:val="009D6D30"/>
    <w:rsid w:val="009D6E3D"/>
    <w:rsid w:val="009D7628"/>
    <w:rsid w:val="009D77C4"/>
    <w:rsid w:val="009D7953"/>
    <w:rsid w:val="009D79CB"/>
    <w:rsid w:val="009D7D26"/>
    <w:rsid w:val="009D7DCE"/>
    <w:rsid w:val="009E00B9"/>
    <w:rsid w:val="009E0286"/>
    <w:rsid w:val="009E08B3"/>
    <w:rsid w:val="009E1361"/>
    <w:rsid w:val="009E1582"/>
    <w:rsid w:val="009E1F3F"/>
    <w:rsid w:val="009E22D0"/>
    <w:rsid w:val="009E26C5"/>
    <w:rsid w:val="009E2B6D"/>
    <w:rsid w:val="009E3044"/>
    <w:rsid w:val="009E3780"/>
    <w:rsid w:val="009E3C59"/>
    <w:rsid w:val="009E3FF0"/>
    <w:rsid w:val="009E4020"/>
    <w:rsid w:val="009E4586"/>
    <w:rsid w:val="009E4915"/>
    <w:rsid w:val="009E4AE6"/>
    <w:rsid w:val="009E5432"/>
    <w:rsid w:val="009E57DF"/>
    <w:rsid w:val="009E5B48"/>
    <w:rsid w:val="009E5F18"/>
    <w:rsid w:val="009E61A5"/>
    <w:rsid w:val="009E655C"/>
    <w:rsid w:val="009E69A1"/>
    <w:rsid w:val="009E6ACF"/>
    <w:rsid w:val="009E6AF5"/>
    <w:rsid w:val="009E75EC"/>
    <w:rsid w:val="009F0612"/>
    <w:rsid w:val="009F06D3"/>
    <w:rsid w:val="009F0895"/>
    <w:rsid w:val="009F093B"/>
    <w:rsid w:val="009F097A"/>
    <w:rsid w:val="009F0DEC"/>
    <w:rsid w:val="009F0DF3"/>
    <w:rsid w:val="009F0E6A"/>
    <w:rsid w:val="009F1381"/>
    <w:rsid w:val="009F163F"/>
    <w:rsid w:val="009F1765"/>
    <w:rsid w:val="009F1B6E"/>
    <w:rsid w:val="009F2237"/>
    <w:rsid w:val="009F23C1"/>
    <w:rsid w:val="009F299C"/>
    <w:rsid w:val="009F2DC6"/>
    <w:rsid w:val="009F34B1"/>
    <w:rsid w:val="009F37A2"/>
    <w:rsid w:val="009F3B42"/>
    <w:rsid w:val="009F47F3"/>
    <w:rsid w:val="009F5068"/>
    <w:rsid w:val="009F5905"/>
    <w:rsid w:val="009F59E7"/>
    <w:rsid w:val="009F5CEA"/>
    <w:rsid w:val="009F5E4F"/>
    <w:rsid w:val="009F613E"/>
    <w:rsid w:val="009F61DC"/>
    <w:rsid w:val="009F6CE7"/>
    <w:rsid w:val="009F6EA8"/>
    <w:rsid w:val="009F72B6"/>
    <w:rsid w:val="009F73E4"/>
    <w:rsid w:val="009F741F"/>
    <w:rsid w:val="009F77B9"/>
    <w:rsid w:val="009F77C2"/>
    <w:rsid w:val="009F77DE"/>
    <w:rsid w:val="009F7A11"/>
    <w:rsid w:val="009F7A63"/>
    <w:rsid w:val="009F7F24"/>
    <w:rsid w:val="009F7F71"/>
    <w:rsid w:val="00A001A9"/>
    <w:rsid w:val="00A00298"/>
    <w:rsid w:val="00A003C4"/>
    <w:rsid w:val="00A0134F"/>
    <w:rsid w:val="00A01511"/>
    <w:rsid w:val="00A0167A"/>
    <w:rsid w:val="00A01840"/>
    <w:rsid w:val="00A0247B"/>
    <w:rsid w:val="00A0253C"/>
    <w:rsid w:val="00A025F2"/>
    <w:rsid w:val="00A02775"/>
    <w:rsid w:val="00A02952"/>
    <w:rsid w:val="00A02C0A"/>
    <w:rsid w:val="00A02DB9"/>
    <w:rsid w:val="00A030E7"/>
    <w:rsid w:val="00A03100"/>
    <w:rsid w:val="00A0369F"/>
    <w:rsid w:val="00A03813"/>
    <w:rsid w:val="00A03996"/>
    <w:rsid w:val="00A03B3F"/>
    <w:rsid w:val="00A046D0"/>
    <w:rsid w:val="00A048EF"/>
    <w:rsid w:val="00A0495A"/>
    <w:rsid w:val="00A04A7A"/>
    <w:rsid w:val="00A052A7"/>
    <w:rsid w:val="00A05B00"/>
    <w:rsid w:val="00A05ED6"/>
    <w:rsid w:val="00A0616E"/>
    <w:rsid w:val="00A06D95"/>
    <w:rsid w:val="00A071AC"/>
    <w:rsid w:val="00A0736B"/>
    <w:rsid w:val="00A076C6"/>
    <w:rsid w:val="00A07B27"/>
    <w:rsid w:val="00A10391"/>
    <w:rsid w:val="00A104AC"/>
    <w:rsid w:val="00A1070C"/>
    <w:rsid w:val="00A10867"/>
    <w:rsid w:val="00A11E15"/>
    <w:rsid w:val="00A11E9B"/>
    <w:rsid w:val="00A123D6"/>
    <w:rsid w:val="00A12949"/>
    <w:rsid w:val="00A12A96"/>
    <w:rsid w:val="00A12EC3"/>
    <w:rsid w:val="00A12F04"/>
    <w:rsid w:val="00A130C2"/>
    <w:rsid w:val="00A132D5"/>
    <w:rsid w:val="00A136DE"/>
    <w:rsid w:val="00A13C78"/>
    <w:rsid w:val="00A13EF9"/>
    <w:rsid w:val="00A13FBC"/>
    <w:rsid w:val="00A14575"/>
    <w:rsid w:val="00A1467A"/>
    <w:rsid w:val="00A14FB8"/>
    <w:rsid w:val="00A153C9"/>
    <w:rsid w:val="00A156A4"/>
    <w:rsid w:val="00A15AB0"/>
    <w:rsid w:val="00A15B6C"/>
    <w:rsid w:val="00A15EF1"/>
    <w:rsid w:val="00A16309"/>
    <w:rsid w:val="00A163C7"/>
    <w:rsid w:val="00A166E2"/>
    <w:rsid w:val="00A17232"/>
    <w:rsid w:val="00A1724F"/>
    <w:rsid w:val="00A178ED"/>
    <w:rsid w:val="00A179B3"/>
    <w:rsid w:val="00A17A84"/>
    <w:rsid w:val="00A17B49"/>
    <w:rsid w:val="00A200BE"/>
    <w:rsid w:val="00A200C4"/>
    <w:rsid w:val="00A2058B"/>
    <w:rsid w:val="00A206E2"/>
    <w:rsid w:val="00A208F6"/>
    <w:rsid w:val="00A20A2C"/>
    <w:rsid w:val="00A21113"/>
    <w:rsid w:val="00A21163"/>
    <w:rsid w:val="00A21421"/>
    <w:rsid w:val="00A21B60"/>
    <w:rsid w:val="00A21DBC"/>
    <w:rsid w:val="00A21EB0"/>
    <w:rsid w:val="00A22510"/>
    <w:rsid w:val="00A23107"/>
    <w:rsid w:val="00A236B3"/>
    <w:rsid w:val="00A2389B"/>
    <w:rsid w:val="00A23E8E"/>
    <w:rsid w:val="00A253C6"/>
    <w:rsid w:val="00A256C1"/>
    <w:rsid w:val="00A26731"/>
    <w:rsid w:val="00A267A5"/>
    <w:rsid w:val="00A26C13"/>
    <w:rsid w:val="00A26CBA"/>
    <w:rsid w:val="00A26DBA"/>
    <w:rsid w:val="00A30365"/>
    <w:rsid w:val="00A305A9"/>
    <w:rsid w:val="00A305B5"/>
    <w:rsid w:val="00A3068C"/>
    <w:rsid w:val="00A306F3"/>
    <w:rsid w:val="00A308F1"/>
    <w:rsid w:val="00A31200"/>
    <w:rsid w:val="00A3172A"/>
    <w:rsid w:val="00A31857"/>
    <w:rsid w:val="00A31D30"/>
    <w:rsid w:val="00A32760"/>
    <w:rsid w:val="00A328B0"/>
    <w:rsid w:val="00A328BC"/>
    <w:rsid w:val="00A332DD"/>
    <w:rsid w:val="00A33DBC"/>
    <w:rsid w:val="00A34498"/>
    <w:rsid w:val="00A34ED3"/>
    <w:rsid w:val="00A3582E"/>
    <w:rsid w:val="00A35BFB"/>
    <w:rsid w:val="00A360FD"/>
    <w:rsid w:val="00A36156"/>
    <w:rsid w:val="00A3622A"/>
    <w:rsid w:val="00A36510"/>
    <w:rsid w:val="00A367AF"/>
    <w:rsid w:val="00A3710F"/>
    <w:rsid w:val="00A37389"/>
    <w:rsid w:val="00A373BE"/>
    <w:rsid w:val="00A4014C"/>
    <w:rsid w:val="00A402DF"/>
    <w:rsid w:val="00A4064D"/>
    <w:rsid w:val="00A40A34"/>
    <w:rsid w:val="00A40D19"/>
    <w:rsid w:val="00A41C82"/>
    <w:rsid w:val="00A422C3"/>
    <w:rsid w:val="00A42652"/>
    <w:rsid w:val="00A42A83"/>
    <w:rsid w:val="00A42AAF"/>
    <w:rsid w:val="00A42EE5"/>
    <w:rsid w:val="00A43111"/>
    <w:rsid w:val="00A43266"/>
    <w:rsid w:val="00A432DA"/>
    <w:rsid w:val="00A43695"/>
    <w:rsid w:val="00A43C86"/>
    <w:rsid w:val="00A4415F"/>
    <w:rsid w:val="00A449CA"/>
    <w:rsid w:val="00A45DB9"/>
    <w:rsid w:val="00A45F11"/>
    <w:rsid w:val="00A464A9"/>
    <w:rsid w:val="00A46E51"/>
    <w:rsid w:val="00A47B1F"/>
    <w:rsid w:val="00A5072A"/>
    <w:rsid w:val="00A50A8C"/>
    <w:rsid w:val="00A51270"/>
    <w:rsid w:val="00A51298"/>
    <w:rsid w:val="00A51830"/>
    <w:rsid w:val="00A5195F"/>
    <w:rsid w:val="00A52945"/>
    <w:rsid w:val="00A52A22"/>
    <w:rsid w:val="00A540CB"/>
    <w:rsid w:val="00A54230"/>
    <w:rsid w:val="00A54FDB"/>
    <w:rsid w:val="00A55071"/>
    <w:rsid w:val="00A554B5"/>
    <w:rsid w:val="00A556CF"/>
    <w:rsid w:val="00A55933"/>
    <w:rsid w:val="00A5593A"/>
    <w:rsid w:val="00A5676E"/>
    <w:rsid w:val="00A567BB"/>
    <w:rsid w:val="00A56A08"/>
    <w:rsid w:val="00A56E90"/>
    <w:rsid w:val="00A56F86"/>
    <w:rsid w:val="00A57628"/>
    <w:rsid w:val="00A578D4"/>
    <w:rsid w:val="00A57969"/>
    <w:rsid w:val="00A57CA4"/>
    <w:rsid w:val="00A60460"/>
    <w:rsid w:val="00A60636"/>
    <w:rsid w:val="00A60DE5"/>
    <w:rsid w:val="00A60FF4"/>
    <w:rsid w:val="00A61125"/>
    <w:rsid w:val="00A61594"/>
    <w:rsid w:val="00A61E76"/>
    <w:rsid w:val="00A61F5D"/>
    <w:rsid w:val="00A622EE"/>
    <w:rsid w:val="00A626F4"/>
    <w:rsid w:val="00A62A87"/>
    <w:rsid w:val="00A62CBE"/>
    <w:rsid w:val="00A6339E"/>
    <w:rsid w:val="00A63C84"/>
    <w:rsid w:val="00A63CB2"/>
    <w:rsid w:val="00A63D20"/>
    <w:rsid w:val="00A64516"/>
    <w:rsid w:val="00A64EF0"/>
    <w:rsid w:val="00A6541E"/>
    <w:rsid w:val="00A65930"/>
    <w:rsid w:val="00A65B76"/>
    <w:rsid w:val="00A65EFD"/>
    <w:rsid w:val="00A65F82"/>
    <w:rsid w:val="00A66531"/>
    <w:rsid w:val="00A665DD"/>
    <w:rsid w:val="00A666D7"/>
    <w:rsid w:val="00A67D9A"/>
    <w:rsid w:val="00A700C3"/>
    <w:rsid w:val="00A702C9"/>
    <w:rsid w:val="00A70798"/>
    <w:rsid w:val="00A70B1C"/>
    <w:rsid w:val="00A70EFE"/>
    <w:rsid w:val="00A70F0E"/>
    <w:rsid w:val="00A71219"/>
    <w:rsid w:val="00A715E0"/>
    <w:rsid w:val="00A716A2"/>
    <w:rsid w:val="00A719A2"/>
    <w:rsid w:val="00A71AC3"/>
    <w:rsid w:val="00A71E90"/>
    <w:rsid w:val="00A7200F"/>
    <w:rsid w:val="00A720BB"/>
    <w:rsid w:val="00A72CDE"/>
    <w:rsid w:val="00A72EF0"/>
    <w:rsid w:val="00A73100"/>
    <w:rsid w:val="00A73220"/>
    <w:rsid w:val="00A734F7"/>
    <w:rsid w:val="00A738B4"/>
    <w:rsid w:val="00A73B08"/>
    <w:rsid w:val="00A74170"/>
    <w:rsid w:val="00A74D30"/>
    <w:rsid w:val="00A75513"/>
    <w:rsid w:val="00A756D4"/>
    <w:rsid w:val="00A75837"/>
    <w:rsid w:val="00A75F0B"/>
    <w:rsid w:val="00A76027"/>
    <w:rsid w:val="00A761E5"/>
    <w:rsid w:val="00A76486"/>
    <w:rsid w:val="00A766AC"/>
    <w:rsid w:val="00A7765E"/>
    <w:rsid w:val="00A77A84"/>
    <w:rsid w:val="00A77B47"/>
    <w:rsid w:val="00A77CE7"/>
    <w:rsid w:val="00A77D6B"/>
    <w:rsid w:val="00A77D7F"/>
    <w:rsid w:val="00A80E72"/>
    <w:rsid w:val="00A80E83"/>
    <w:rsid w:val="00A80F2B"/>
    <w:rsid w:val="00A8109D"/>
    <w:rsid w:val="00A81F6C"/>
    <w:rsid w:val="00A82B8B"/>
    <w:rsid w:val="00A82F48"/>
    <w:rsid w:val="00A83858"/>
    <w:rsid w:val="00A83A1C"/>
    <w:rsid w:val="00A83ADF"/>
    <w:rsid w:val="00A83F7C"/>
    <w:rsid w:val="00A84088"/>
    <w:rsid w:val="00A850CF"/>
    <w:rsid w:val="00A8546C"/>
    <w:rsid w:val="00A8557A"/>
    <w:rsid w:val="00A86061"/>
    <w:rsid w:val="00A87835"/>
    <w:rsid w:val="00A87ECE"/>
    <w:rsid w:val="00A87F24"/>
    <w:rsid w:val="00A900A1"/>
    <w:rsid w:val="00A90920"/>
    <w:rsid w:val="00A90BEB"/>
    <w:rsid w:val="00A9103B"/>
    <w:rsid w:val="00A9136C"/>
    <w:rsid w:val="00A916D1"/>
    <w:rsid w:val="00A918F6"/>
    <w:rsid w:val="00A91BC2"/>
    <w:rsid w:val="00A924A0"/>
    <w:rsid w:val="00A92858"/>
    <w:rsid w:val="00A92B46"/>
    <w:rsid w:val="00A9436C"/>
    <w:rsid w:val="00A9441C"/>
    <w:rsid w:val="00A94599"/>
    <w:rsid w:val="00A9476B"/>
    <w:rsid w:val="00A94E84"/>
    <w:rsid w:val="00A953CC"/>
    <w:rsid w:val="00A956A8"/>
    <w:rsid w:val="00A95A6F"/>
    <w:rsid w:val="00A963E7"/>
    <w:rsid w:val="00A964F2"/>
    <w:rsid w:val="00A96C29"/>
    <w:rsid w:val="00A9706B"/>
    <w:rsid w:val="00A97091"/>
    <w:rsid w:val="00A976E9"/>
    <w:rsid w:val="00A97BA6"/>
    <w:rsid w:val="00A97FEE"/>
    <w:rsid w:val="00AA006E"/>
    <w:rsid w:val="00AA0239"/>
    <w:rsid w:val="00AA03C6"/>
    <w:rsid w:val="00AA0BA1"/>
    <w:rsid w:val="00AA159D"/>
    <w:rsid w:val="00AA1A19"/>
    <w:rsid w:val="00AA2356"/>
    <w:rsid w:val="00AA281B"/>
    <w:rsid w:val="00AA3161"/>
    <w:rsid w:val="00AA3210"/>
    <w:rsid w:val="00AA32A2"/>
    <w:rsid w:val="00AA3DC1"/>
    <w:rsid w:val="00AA47A7"/>
    <w:rsid w:val="00AA4D3D"/>
    <w:rsid w:val="00AA5855"/>
    <w:rsid w:val="00AA5D3E"/>
    <w:rsid w:val="00AA5D77"/>
    <w:rsid w:val="00AA66D9"/>
    <w:rsid w:val="00AA677D"/>
    <w:rsid w:val="00AA68E7"/>
    <w:rsid w:val="00AA68EB"/>
    <w:rsid w:val="00AA6A82"/>
    <w:rsid w:val="00AA6D7F"/>
    <w:rsid w:val="00AA6ED5"/>
    <w:rsid w:val="00AA7354"/>
    <w:rsid w:val="00AA7520"/>
    <w:rsid w:val="00AA7FBA"/>
    <w:rsid w:val="00AB000A"/>
    <w:rsid w:val="00AB05FA"/>
    <w:rsid w:val="00AB062E"/>
    <w:rsid w:val="00AB0EA5"/>
    <w:rsid w:val="00AB1151"/>
    <w:rsid w:val="00AB1475"/>
    <w:rsid w:val="00AB1518"/>
    <w:rsid w:val="00AB163D"/>
    <w:rsid w:val="00AB1680"/>
    <w:rsid w:val="00AB1C97"/>
    <w:rsid w:val="00AB1DB3"/>
    <w:rsid w:val="00AB21D2"/>
    <w:rsid w:val="00AB23C6"/>
    <w:rsid w:val="00AB2492"/>
    <w:rsid w:val="00AB2544"/>
    <w:rsid w:val="00AB25DC"/>
    <w:rsid w:val="00AB2626"/>
    <w:rsid w:val="00AB29A8"/>
    <w:rsid w:val="00AB2CAF"/>
    <w:rsid w:val="00AB2FE4"/>
    <w:rsid w:val="00AB3060"/>
    <w:rsid w:val="00AB3098"/>
    <w:rsid w:val="00AB3728"/>
    <w:rsid w:val="00AB417D"/>
    <w:rsid w:val="00AB48FE"/>
    <w:rsid w:val="00AB4947"/>
    <w:rsid w:val="00AB495B"/>
    <w:rsid w:val="00AB4EF5"/>
    <w:rsid w:val="00AB5739"/>
    <w:rsid w:val="00AB5F48"/>
    <w:rsid w:val="00AB6228"/>
    <w:rsid w:val="00AB669C"/>
    <w:rsid w:val="00AB679F"/>
    <w:rsid w:val="00AB6FD0"/>
    <w:rsid w:val="00AB711B"/>
    <w:rsid w:val="00AB75A6"/>
    <w:rsid w:val="00AB7E53"/>
    <w:rsid w:val="00AC1D23"/>
    <w:rsid w:val="00AC1D27"/>
    <w:rsid w:val="00AC25B1"/>
    <w:rsid w:val="00AC2668"/>
    <w:rsid w:val="00AC32B6"/>
    <w:rsid w:val="00AC3A97"/>
    <w:rsid w:val="00AC3B53"/>
    <w:rsid w:val="00AC49A6"/>
    <w:rsid w:val="00AC4A64"/>
    <w:rsid w:val="00AC54BF"/>
    <w:rsid w:val="00AC5649"/>
    <w:rsid w:val="00AC5775"/>
    <w:rsid w:val="00AC59F3"/>
    <w:rsid w:val="00AC5AF2"/>
    <w:rsid w:val="00AC5DDE"/>
    <w:rsid w:val="00AC6252"/>
    <w:rsid w:val="00AC6542"/>
    <w:rsid w:val="00AC68FF"/>
    <w:rsid w:val="00AC6966"/>
    <w:rsid w:val="00AC6A24"/>
    <w:rsid w:val="00AC6AC8"/>
    <w:rsid w:val="00AC71C0"/>
    <w:rsid w:val="00AC7368"/>
    <w:rsid w:val="00AC7915"/>
    <w:rsid w:val="00AC7B33"/>
    <w:rsid w:val="00AC7D28"/>
    <w:rsid w:val="00AD0577"/>
    <w:rsid w:val="00AD057C"/>
    <w:rsid w:val="00AD0BF1"/>
    <w:rsid w:val="00AD117F"/>
    <w:rsid w:val="00AD1481"/>
    <w:rsid w:val="00AD1519"/>
    <w:rsid w:val="00AD155D"/>
    <w:rsid w:val="00AD1A67"/>
    <w:rsid w:val="00AD2562"/>
    <w:rsid w:val="00AD2A41"/>
    <w:rsid w:val="00AD2A94"/>
    <w:rsid w:val="00AD2BB2"/>
    <w:rsid w:val="00AD2CE9"/>
    <w:rsid w:val="00AD2D14"/>
    <w:rsid w:val="00AD2E25"/>
    <w:rsid w:val="00AD3006"/>
    <w:rsid w:val="00AD32DA"/>
    <w:rsid w:val="00AD3638"/>
    <w:rsid w:val="00AD393E"/>
    <w:rsid w:val="00AD3AFA"/>
    <w:rsid w:val="00AD3BAC"/>
    <w:rsid w:val="00AD4411"/>
    <w:rsid w:val="00AD4897"/>
    <w:rsid w:val="00AD5680"/>
    <w:rsid w:val="00AD5BC1"/>
    <w:rsid w:val="00AD5D1B"/>
    <w:rsid w:val="00AD60F1"/>
    <w:rsid w:val="00AD6707"/>
    <w:rsid w:val="00AD67B1"/>
    <w:rsid w:val="00AD6A51"/>
    <w:rsid w:val="00AD6BC3"/>
    <w:rsid w:val="00AD6BEA"/>
    <w:rsid w:val="00AD712A"/>
    <w:rsid w:val="00AD729D"/>
    <w:rsid w:val="00AD779D"/>
    <w:rsid w:val="00AE02FB"/>
    <w:rsid w:val="00AE06E6"/>
    <w:rsid w:val="00AE0D7E"/>
    <w:rsid w:val="00AE1789"/>
    <w:rsid w:val="00AE1F7E"/>
    <w:rsid w:val="00AE279E"/>
    <w:rsid w:val="00AE289D"/>
    <w:rsid w:val="00AE2BDD"/>
    <w:rsid w:val="00AE3B4D"/>
    <w:rsid w:val="00AE40C8"/>
    <w:rsid w:val="00AE44D9"/>
    <w:rsid w:val="00AE45D4"/>
    <w:rsid w:val="00AE4A2E"/>
    <w:rsid w:val="00AE4CF4"/>
    <w:rsid w:val="00AE4DE7"/>
    <w:rsid w:val="00AE59AD"/>
    <w:rsid w:val="00AE5BDC"/>
    <w:rsid w:val="00AE691D"/>
    <w:rsid w:val="00AE6E00"/>
    <w:rsid w:val="00AE76A0"/>
    <w:rsid w:val="00AE7BB8"/>
    <w:rsid w:val="00AE7CB3"/>
    <w:rsid w:val="00AF04C8"/>
    <w:rsid w:val="00AF0978"/>
    <w:rsid w:val="00AF09C3"/>
    <w:rsid w:val="00AF0C3C"/>
    <w:rsid w:val="00AF1473"/>
    <w:rsid w:val="00AF18F4"/>
    <w:rsid w:val="00AF197D"/>
    <w:rsid w:val="00AF1C41"/>
    <w:rsid w:val="00AF2378"/>
    <w:rsid w:val="00AF24C0"/>
    <w:rsid w:val="00AF26AE"/>
    <w:rsid w:val="00AF2D74"/>
    <w:rsid w:val="00AF36F4"/>
    <w:rsid w:val="00AF3829"/>
    <w:rsid w:val="00AF3D19"/>
    <w:rsid w:val="00AF4675"/>
    <w:rsid w:val="00AF4686"/>
    <w:rsid w:val="00AF4870"/>
    <w:rsid w:val="00AF4895"/>
    <w:rsid w:val="00AF4CF4"/>
    <w:rsid w:val="00AF4DDF"/>
    <w:rsid w:val="00AF4F3F"/>
    <w:rsid w:val="00AF51B5"/>
    <w:rsid w:val="00AF56FA"/>
    <w:rsid w:val="00AF5A23"/>
    <w:rsid w:val="00AF5E3B"/>
    <w:rsid w:val="00AF5F10"/>
    <w:rsid w:val="00AF5FE6"/>
    <w:rsid w:val="00AF6297"/>
    <w:rsid w:val="00AF66C6"/>
    <w:rsid w:val="00AF67B4"/>
    <w:rsid w:val="00AF6C36"/>
    <w:rsid w:val="00AF6C4A"/>
    <w:rsid w:val="00AF6E10"/>
    <w:rsid w:val="00AF6F14"/>
    <w:rsid w:val="00AF6F69"/>
    <w:rsid w:val="00AF7529"/>
    <w:rsid w:val="00AF75E0"/>
    <w:rsid w:val="00AF79A0"/>
    <w:rsid w:val="00AF79A5"/>
    <w:rsid w:val="00B00061"/>
    <w:rsid w:val="00B0062E"/>
    <w:rsid w:val="00B0078C"/>
    <w:rsid w:val="00B007D5"/>
    <w:rsid w:val="00B00E7B"/>
    <w:rsid w:val="00B01322"/>
    <w:rsid w:val="00B01418"/>
    <w:rsid w:val="00B028DC"/>
    <w:rsid w:val="00B03717"/>
    <w:rsid w:val="00B03A47"/>
    <w:rsid w:val="00B03C75"/>
    <w:rsid w:val="00B040F9"/>
    <w:rsid w:val="00B04BCE"/>
    <w:rsid w:val="00B04EC3"/>
    <w:rsid w:val="00B05286"/>
    <w:rsid w:val="00B05661"/>
    <w:rsid w:val="00B058A7"/>
    <w:rsid w:val="00B05EBA"/>
    <w:rsid w:val="00B06116"/>
    <w:rsid w:val="00B06238"/>
    <w:rsid w:val="00B06973"/>
    <w:rsid w:val="00B06AD1"/>
    <w:rsid w:val="00B06AF6"/>
    <w:rsid w:val="00B072CC"/>
    <w:rsid w:val="00B072DD"/>
    <w:rsid w:val="00B0744E"/>
    <w:rsid w:val="00B079C8"/>
    <w:rsid w:val="00B07D20"/>
    <w:rsid w:val="00B07D5F"/>
    <w:rsid w:val="00B10030"/>
    <w:rsid w:val="00B10107"/>
    <w:rsid w:val="00B1030E"/>
    <w:rsid w:val="00B10673"/>
    <w:rsid w:val="00B10851"/>
    <w:rsid w:val="00B10DDA"/>
    <w:rsid w:val="00B11594"/>
    <w:rsid w:val="00B12041"/>
    <w:rsid w:val="00B12157"/>
    <w:rsid w:val="00B1230D"/>
    <w:rsid w:val="00B1291F"/>
    <w:rsid w:val="00B12AAA"/>
    <w:rsid w:val="00B12BE6"/>
    <w:rsid w:val="00B12D8B"/>
    <w:rsid w:val="00B12E3B"/>
    <w:rsid w:val="00B12E3E"/>
    <w:rsid w:val="00B12E9C"/>
    <w:rsid w:val="00B12F52"/>
    <w:rsid w:val="00B12FBF"/>
    <w:rsid w:val="00B13366"/>
    <w:rsid w:val="00B1337F"/>
    <w:rsid w:val="00B1506B"/>
    <w:rsid w:val="00B15398"/>
    <w:rsid w:val="00B154EE"/>
    <w:rsid w:val="00B1592D"/>
    <w:rsid w:val="00B163FE"/>
    <w:rsid w:val="00B16BED"/>
    <w:rsid w:val="00B17456"/>
    <w:rsid w:val="00B17936"/>
    <w:rsid w:val="00B20023"/>
    <w:rsid w:val="00B20040"/>
    <w:rsid w:val="00B20B67"/>
    <w:rsid w:val="00B20BC5"/>
    <w:rsid w:val="00B21232"/>
    <w:rsid w:val="00B2157C"/>
    <w:rsid w:val="00B2165A"/>
    <w:rsid w:val="00B21EBE"/>
    <w:rsid w:val="00B221BD"/>
    <w:rsid w:val="00B222C0"/>
    <w:rsid w:val="00B239CC"/>
    <w:rsid w:val="00B2403C"/>
    <w:rsid w:val="00B242E7"/>
    <w:rsid w:val="00B249B9"/>
    <w:rsid w:val="00B24BD0"/>
    <w:rsid w:val="00B2519C"/>
    <w:rsid w:val="00B25274"/>
    <w:rsid w:val="00B25289"/>
    <w:rsid w:val="00B25294"/>
    <w:rsid w:val="00B2575E"/>
    <w:rsid w:val="00B25CEA"/>
    <w:rsid w:val="00B26107"/>
    <w:rsid w:val="00B26271"/>
    <w:rsid w:val="00B26409"/>
    <w:rsid w:val="00B264D1"/>
    <w:rsid w:val="00B268B6"/>
    <w:rsid w:val="00B26A0B"/>
    <w:rsid w:val="00B27C98"/>
    <w:rsid w:val="00B27F5E"/>
    <w:rsid w:val="00B306AE"/>
    <w:rsid w:val="00B30A63"/>
    <w:rsid w:val="00B30EB2"/>
    <w:rsid w:val="00B31328"/>
    <w:rsid w:val="00B31AD2"/>
    <w:rsid w:val="00B31D24"/>
    <w:rsid w:val="00B32239"/>
    <w:rsid w:val="00B32277"/>
    <w:rsid w:val="00B3229B"/>
    <w:rsid w:val="00B3247A"/>
    <w:rsid w:val="00B327DD"/>
    <w:rsid w:val="00B32CAE"/>
    <w:rsid w:val="00B3304E"/>
    <w:rsid w:val="00B33BA3"/>
    <w:rsid w:val="00B33EDE"/>
    <w:rsid w:val="00B340B3"/>
    <w:rsid w:val="00B342F0"/>
    <w:rsid w:val="00B347B5"/>
    <w:rsid w:val="00B34AB7"/>
    <w:rsid w:val="00B34B36"/>
    <w:rsid w:val="00B350E6"/>
    <w:rsid w:val="00B35471"/>
    <w:rsid w:val="00B35A88"/>
    <w:rsid w:val="00B35BBE"/>
    <w:rsid w:val="00B35D71"/>
    <w:rsid w:val="00B35E28"/>
    <w:rsid w:val="00B3733B"/>
    <w:rsid w:val="00B377FF"/>
    <w:rsid w:val="00B37943"/>
    <w:rsid w:val="00B37A4B"/>
    <w:rsid w:val="00B37B76"/>
    <w:rsid w:val="00B400C1"/>
    <w:rsid w:val="00B401C5"/>
    <w:rsid w:val="00B41044"/>
    <w:rsid w:val="00B41065"/>
    <w:rsid w:val="00B41214"/>
    <w:rsid w:val="00B41551"/>
    <w:rsid w:val="00B41AF2"/>
    <w:rsid w:val="00B41CAB"/>
    <w:rsid w:val="00B4206E"/>
    <w:rsid w:val="00B424B4"/>
    <w:rsid w:val="00B432D0"/>
    <w:rsid w:val="00B43340"/>
    <w:rsid w:val="00B4394E"/>
    <w:rsid w:val="00B43C30"/>
    <w:rsid w:val="00B44044"/>
    <w:rsid w:val="00B4477C"/>
    <w:rsid w:val="00B448EF"/>
    <w:rsid w:val="00B44CD4"/>
    <w:rsid w:val="00B454BE"/>
    <w:rsid w:val="00B45508"/>
    <w:rsid w:val="00B459AD"/>
    <w:rsid w:val="00B45EC8"/>
    <w:rsid w:val="00B46B88"/>
    <w:rsid w:val="00B47222"/>
    <w:rsid w:val="00B47BB2"/>
    <w:rsid w:val="00B47C8B"/>
    <w:rsid w:val="00B47D55"/>
    <w:rsid w:val="00B47E90"/>
    <w:rsid w:val="00B5000B"/>
    <w:rsid w:val="00B507C7"/>
    <w:rsid w:val="00B50DE2"/>
    <w:rsid w:val="00B50EAF"/>
    <w:rsid w:val="00B516C5"/>
    <w:rsid w:val="00B51EC5"/>
    <w:rsid w:val="00B52AA0"/>
    <w:rsid w:val="00B52D16"/>
    <w:rsid w:val="00B52D42"/>
    <w:rsid w:val="00B52DD0"/>
    <w:rsid w:val="00B538FB"/>
    <w:rsid w:val="00B53A2C"/>
    <w:rsid w:val="00B548BD"/>
    <w:rsid w:val="00B54A57"/>
    <w:rsid w:val="00B54B0B"/>
    <w:rsid w:val="00B54C8E"/>
    <w:rsid w:val="00B54F40"/>
    <w:rsid w:val="00B553D0"/>
    <w:rsid w:val="00B55681"/>
    <w:rsid w:val="00B55C24"/>
    <w:rsid w:val="00B55CAF"/>
    <w:rsid w:val="00B563D7"/>
    <w:rsid w:val="00B566F6"/>
    <w:rsid w:val="00B570A2"/>
    <w:rsid w:val="00B57F17"/>
    <w:rsid w:val="00B604EB"/>
    <w:rsid w:val="00B60529"/>
    <w:rsid w:val="00B60795"/>
    <w:rsid w:val="00B609A2"/>
    <w:rsid w:val="00B61326"/>
    <w:rsid w:val="00B615AA"/>
    <w:rsid w:val="00B61701"/>
    <w:rsid w:val="00B61D5D"/>
    <w:rsid w:val="00B62027"/>
    <w:rsid w:val="00B623C9"/>
    <w:rsid w:val="00B63D0E"/>
    <w:rsid w:val="00B63E84"/>
    <w:rsid w:val="00B63EED"/>
    <w:rsid w:val="00B643A7"/>
    <w:rsid w:val="00B64CCB"/>
    <w:rsid w:val="00B64D7C"/>
    <w:rsid w:val="00B650E9"/>
    <w:rsid w:val="00B653C4"/>
    <w:rsid w:val="00B66422"/>
    <w:rsid w:val="00B66973"/>
    <w:rsid w:val="00B66CC3"/>
    <w:rsid w:val="00B66D4D"/>
    <w:rsid w:val="00B671B9"/>
    <w:rsid w:val="00B67604"/>
    <w:rsid w:val="00B6798D"/>
    <w:rsid w:val="00B67A02"/>
    <w:rsid w:val="00B67EBC"/>
    <w:rsid w:val="00B70279"/>
    <w:rsid w:val="00B705C9"/>
    <w:rsid w:val="00B706D6"/>
    <w:rsid w:val="00B7085D"/>
    <w:rsid w:val="00B70984"/>
    <w:rsid w:val="00B70A84"/>
    <w:rsid w:val="00B70F33"/>
    <w:rsid w:val="00B7116E"/>
    <w:rsid w:val="00B719FC"/>
    <w:rsid w:val="00B71FEF"/>
    <w:rsid w:val="00B72006"/>
    <w:rsid w:val="00B720BA"/>
    <w:rsid w:val="00B7228E"/>
    <w:rsid w:val="00B7257F"/>
    <w:rsid w:val="00B7290C"/>
    <w:rsid w:val="00B733D5"/>
    <w:rsid w:val="00B7355F"/>
    <w:rsid w:val="00B73AF5"/>
    <w:rsid w:val="00B745EE"/>
    <w:rsid w:val="00B747A2"/>
    <w:rsid w:val="00B74F92"/>
    <w:rsid w:val="00B75064"/>
    <w:rsid w:val="00B752CC"/>
    <w:rsid w:val="00B75385"/>
    <w:rsid w:val="00B75FAE"/>
    <w:rsid w:val="00B761D6"/>
    <w:rsid w:val="00B7670D"/>
    <w:rsid w:val="00B767E2"/>
    <w:rsid w:val="00B76F36"/>
    <w:rsid w:val="00B76FCD"/>
    <w:rsid w:val="00B7738F"/>
    <w:rsid w:val="00B773BD"/>
    <w:rsid w:val="00B803FC"/>
    <w:rsid w:val="00B806DB"/>
    <w:rsid w:val="00B8071E"/>
    <w:rsid w:val="00B80BA8"/>
    <w:rsid w:val="00B80CD1"/>
    <w:rsid w:val="00B81051"/>
    <w:rsid w:val="00B81A21"/>
    <w:rsid w:val="00B81A38"/>
    <w:rsid w:val="00B8263B"/>
    <w:rsid w:val="00B82925"/>
    <w:rsid w:val="00B82DB0"/>
    <w:rsid w:val="00B82E5E"/>
    <w:rsid w:val="00B8342F"/>
    <w:rsid w:val="00B83BA5"/>
    <w:rsid w:val="00B8453E"/>
    <w:rsid w:val="00B848F6"/>
    <w:rsid w:val="00B84D2F"/>
    <w:rsid w:val="00B86010"/>
    <w:rsid w:val="00B865FA"/>
    <w:rsid w:val="00B87481"/>
    <w:rsid w:val="00B87902"/>
    <w:rsid w:val="00B87BC4"/>
    <w:rsid w:val="00B9024D"/>
    <w:rsid w:val="00B91053"/>
    <w:rsid w:val="00B9176B"/>
    <w:rsid w:val="00B91777"/>
    <w:rsid w:val="00B92294"/>
    <w:rsid w:val="00B925C7"/>
    <w:rsid w:val="00B9264E"/>
    <w:rsid w:val="00B926EA"/>
    <w:rsid w:val="00B92A9D"/>
    <w:rsid w:val="00B92CFA"/>
    <w:rsid w:val="00B92F55"/>
    <w:rsid w:val="00B92FAE"/>
    <w:rsid w:val="00B9364D"/>
    <w:rsid w:val="00B93A37"/>
    <w:rsid w:val="00B93C11"/>
    <w:rsid w:val="00B93D99"/>
    <w:rsid w:val="00B93DDC"/>
    <w:rsid w:val="00B94402"/>
    <w:rsid w:val="00B94485"/>
    <w:rsid w:val="00B94A40"/>
    <w:rsid w:val="00B95314"/>
    <w:rsid w:val="00B95CE3"/>
    <w:rsid w:val="00B96123"/>
    <w:rsid w:val="00B962E8"/>
    <w:rsid w:val="00B9655D"/>
    <w:rsid w:val="00B967B7"/>
    <w:rsid w:val="00B972E9"/>
    <w:rsid w:val="00B97591"/>
    <w:rsid w:val="00B976CE"/>
    <w:rsid w:val="00B97C8E"/>
    <w:rsid w:val="00B97D9B"/>
    <w:rsid w:val="00BA02B4"/>
    <w:rsid w:val="00BA05DC"/>
    <w:rsid w:val="00BA139B"/>
    <w:rsid w:val="00BA1D7B"/>
    <w:rsid w:val="00BA1E6E"/>
    <w:rsid w:val="00BA1EB8"/>
    <w:rsid w:val="00BA1ECF"/>
    <w:rsid w:val="00BA26B2"/>
    <w:rsid w:val="00BA2771"/>
    <w:rsid w:val="00BA2AED"/>
    <w:rsid w:val="00BA2FE1"/>
    <w:rsid w:val="00BA35DC"/>
    <w:rsid w:val="00BA3796"/>
    <w:rsid w:val="00BA392D"/>
    <w:rsid w:val="00BA3B7F"/>
    <w:rsid w:val="00BA3C01"/>
    <w:rsid w:val="00BA415A"/>
    <w:rsid w:val="00BA496E"/>
    <w:rsid w:val="00BA53A8"/>
    <w:rsid w:val="00BA5791"/>
    <w:rsid w:val="00BA591D"/>
    <w:rsid w:val="00BA5B14"/>
    <w:rsid w:val="00BA60E1"/>
    <w:rsid w:val="00BA67FC"/>
    <w:rsid w:val="00BA6834"/>
    <w:rsid w:val="00BA6A7D"/>
    <w:rsid w:val="00BA6F7A"/>
    <w:rsid w:val="00BA7C3F"/>
    <w:rsid w:val="00BA7D73"/>
    <w:rsid w:val="00BA7DAC"/>
    <w:rsid w:val="00BB00B7"/>
    <w:rsid w:val="00BB017E"/>
    <w:rsid w:val="00BB0E39"/>
    <w:rsid w:val="00BB19EE"/>
    <w:rsid w:val="00BB1A32"/>
    <w:rsid w:val="00BB1D5B"/>
    <w:rsid w:val="00BB1E68"/>
    <w:rsid w:val="00BB1F12"/>
    <w:rsid w:val="00BB206B"/>
    <w:rsid w:val="00BB21A4"/>
    <w:rsid w:val="00BB2413"/>
    <w:rsid w:val="00BB2614"/>
    <w:rsid w:val="00BB2D7E"/>
    <w:rsid w:val="00BB2E74"/>
    <w:rsid w:val="00BB30D2"/>
    <w:rsid w:val="00BB3543"/>
    <w:rsid w:val="00BB3968"/>
    <w:rsid w:val="00BB3FE5"/>
    <w:rsid w:val="00BB4060"/>
    <w:rsid w:val="00BB43EA"/>
    <w:rsid w:val="00BB4D15"/>
    <w:rsid w:val="00BB5204"/>
    <w:rsid w:val="00BB52D9"/>
    <w:rsid w:val="00BB52FF"/>
    <w:rsid w:val="00BB56B6"/>
    <w:rsid w:val="00BB56D4"/>
    <w:rsid w:val="00BB5740"/>
    <w:rsid w:val="00BB5B41"/>
    <w:rsid w:val="00BB5E6E"/>
    <w:rsid w:val="00BB60CE"/>
    <w:rsid w:val="00BB6F4D"/>
    <w:rsid w:val="00BB6FB4"/>
    <w:rsid w:val="00BB731F"/>
    <w:rsid w:val="00BC012B"/>
    <w:rsid w:val="00BC033C"/>
    <w:rsid w:val="00BC1828"/>
    <w:rsid w:val="00BC2373"/>
    <w:rsid w:val="00BC250D"/>
    <w:rsid w:val="00BC283C"/>
    <w:rsid w:val="00BC2A0F"/>
    <w:rsid w:val="00BC2AAE"/>
    <w:rsid w:val="00BC2B11"/>
    <w:rsid w:val="00BC31BE"/>
    <w:rsid w:val="00BC3B89"/>
    <w:rsid w:val="00BC46D1"/>
    <w:rsid w:val="00BC49B0"/>
    <w:rsid w:val="00BC512C"/>
    <w:rsid w:val="00BC5706"/>
    <w:rsid w:val="00BC5710"/>
    <w:rsid w:val="00BC571D"/>
    <w:rsid w:val="00BC590D"/>
    <w:rsid w:val="00BC5B05"/>
    <w:rsid w:val="00BC5D10"/>
    <w:rsid w:val="00BC5DCD"/>
    <w:rsid w:val="00BC664B"/>
    <w:rsid w:val="00BC6DDD"/>
    <w:rsid w:val="00BC7052"/>
    <w:rsid w:val="00BC78CC"/>
    <w:rsid w:val="00BC7CDD"/>
    <w:rsid w:val="00BD0068"/>
    <w:rsid w:val="00BD095F"/>
    <w:rsid w:val="00BD1271"/>
    <w:rsid w:val="00BD1BD2"/>
    <w:rsid w:val="00BD209D"/>
    <w:rsid w:val="00BD238E"/>
    <w:rsid w:val="00BD2769"/>
    <w:rsid w:val="00BD2A58"/>
    <w:rsid w:val="00BD2F20"/>
    <w:rsid w:val="00BD31B8"/>
    <w:rsid w:val="00BD31F1"/>
    <w:rsid w:val="00BD3D31"/>
    <w:rsid w:val="00BD3D64"/>
    <w:rsid w:val="00BD439F"/>
    <w:rsid w:val="00BD44C1"/>
    <w:rsid w:val="00BD494F"/>
    <w:rsid w:val="00BD50EE"/>
    <w:rsid w:val="00BD5532"/>
    <w:rsid w:val="00BD568F"/>
    <w:rsid w:val="00BD5C71"/>
    <w:rsid w:val="00BD5F1A"/>
    <w:rsid w:val="00BD61A2"/>
    <w:rsid w:val="00BD6CB3"/>
    <w:rsid w:val="00BD7014"/>
    <w:rsid w:val="00BD7FF9"/>
    <w:rsid w:val="00BE0612"/>
    <w:rsid w:val="00BE077B"/>
    <w:rsid w:val="00BE0ADE"/>
    <w:rsid w:val="00BE0AF5"/>
    <w:rsid w:val="00BE0BFC"/>
    <w:rsid w:val="00BE0FF9"/>
    <w:rsid w:val="00BE127A"/>
    <w:rsid w:val="00BE14C5"/>
    <w:rsid w:val="00BE1639"/>
    <w:rsid w:val="00BE1CA4"/>
    <w:rsid w:val="00BE1DE7"/>
    <w:rsid w:val="00BE1E13"/>
    <w:rsid w:val="00BE2C69"/>
    <w:rsid w:val="00BE2E72"/>
    <w:rsid w:val="00BE323D"/>
    <w:rsid w:val="00BE3567"/>
    <w:rsid w:val="00BE3CED"/>
    <w:rsid w:val="00BE53B5"/>
    <w:rsid w:val="00BE55C4"/>
    <w:rsid w:val="00BE5719"/>
    <w:rsid w:val="00BE576F"/>
    <w:rsid w:val="00BE5A59"/>
    <w:rsid w:val="00BE6147"/>
    <w:rsid w:val="00BE6326"/>
    <w:rsid w:val="00BE64A8"/>
    <w:rsid w:val="00BE66E9"/>
    <w:rsid w:val="00BE6C89"/>
    <w:rsid w:val="00BE6DFE"/>
    <w:rsid w:val="00BE7787"/>
    <w:rsid w:val="00BE780B"/>
    <w:rsid w:val="00BE78EF"/>
    <w:rsid w:val="00BE7AE2"/>
    <w:rsid w:val="00BE7FEF"/>
    <w:rsid w:val="00BF058F"/>
    <w:rsid w:val="00BF07B5"/>
    <w:rsid w:val="00BF0DF1"/>
    <w:rsid w:val="00BF1004"/>
    <w:rsid w:val="00BF1633"/>
    <w:rsid w:val="00BF1853"/>
    <w:rsid w:val="00BF1B60"/>
    <w:rsid w:val="00BF1C41"/>
    <w:rsid w:val="00BF2466"/>
    <w:rsid w:val="00BF30E7"/>
    <w:rsid w:val="00BF33E8"/>
    <w:rsid w:val="00BF3610"/>
    <w:rsid w:val="00BF3792"/>
    <w:rsid w:val="00BF3931"/>
    <w:rsid w:val="00BF3BB8"/>
    <w:rsid w:val="00BF3E77"/>
    <w:rsid w:val="00BF3EF4"/>
    <w:rsid w:val="00BF4061"/>
    <w:rsid w:val="00BF412C"/>
    <w:rsid w:val="00BF455B"/>
    <w:rsid w:val="00BF45E0"/>
    <w:rsid w:val="00BF4BE3"/>
    <w:rsid w:val="00BF55B8"/>
    <w:rsid w:val="00BF5C08"/>
    <w:rsid w:val="00BF5EFF"/>
    <w:rsid w:val="00BF6199"/>
    <w:rsid w:val="00BF6C0C"/>
    <w:rsid w:val="00BF6FAA"/>
    <w:rsid w:val="00BF7686"/>
    <w:rsid w:val="00BF7E69"/>
    <w:rsid w:val="00C00853"/>
    <w:rsid w:val="00C00A0B"/>
    <w:rsid w:val="00C00EF1"/>
    <w:rsid w:val="00C0168D"/>
    <w:rsid w:val="00C01C77"/>
    <w:rsid w:val="00C02135"/>
    <w:rsid w:val="00C024AB"/>
    <w:rsid w:val="00C02CC8"/>
    <w:rsid w:val="00C030E9"/>
    <w:rsid w:val="00C0347D"/>
    <w:rsid w:val="00C03A12"/>
    <w:rsid w:val="00C03BF5"/>
    <w:rsid w:val="00C04C84"/>
    <w:rsid w:val="00C05187"/>
    <w:rsid w:val="00C05405"/>
    <w:rsid w:val="00C05783"/>
    <w:rsid w:val="00C05BC1"/>
    <w:rsid w:val="00C07017"/>
    <w:rsid w:val="00C07DFB"/>
    <w:rsid w:val="00C10064"/>
    <w:rsid w:val="00C102D1"/>
    <w:rsid w:val="00C10690"/>
    <w:rsid w:val="00C10803"/>
    <w:rsid w:val="00C109DA"/>
    <w:rsid w:val="00C10A00"/>
    <w:rsid w:val="00C10AFA"/>
    <w:rsid w:val="00C10C09"/>
    <w:rsid w:val="00C115E8"/>
    <w:rsid w:val="00C116CF"/>
    <w:rsid w:val="00C12763"/>
    <w:rsid w:val="00C13225"/>
    <w:rsid w:val="00C13394"/>
    <w:rsid w:val="00C13485"/>
    <w:rsid w:val="00C13E78"/>
    <w:rsid w:val="00C13E90"/>
    <w:rsid w:val="00C14329"/>
    <w:rsid w:val="00C14AB1"/>
    <w:rsid w:val="00C14F95"/>
    <w:rsid w:val="00C1543E"/>
    <w:rsid w:val="00C157EB"/>
    <w:rsid w:val="00C15ABB"/>
    <w:rsid w:val="00C16A48"/>
    <w:rsid w:val="00C1762D"/>
    <w:rsid w:val="00C17A5D"/>
    <w:rsid w:val="00C17CE7"/>
    <w:rsid w:val="00C20929"/>
    <w:rsid w:val="00C20DD7"/>
    <w:rsid w:val="00C2133F"/>
    <w:rsid w:val="00C21692"/>
    <w:rsid w:val="00C21CC1"/>
    <w:rsid w:val="00C2204A"/>
    <w:rsid w:val="00C22979"/>
    <w:rsid w:val="00C22BB6"/>
    <w:rsid w:val="00C23AE5"/>
    <w:rsid w:val="00C23C7E"/>
    <w:rsid w:val="00C243C5"/>
    <w:rsid w:val="00C24452"/>
    <w:rsid w:val="00C24665"/>
    <w:rsid w:val="00C2486D"/>
    <w:rsid w:val="00C25413"/>
    <w:rsid w:val="00C257C5"/>
    <w:rsid w:val="00C25945"/>
    <w:rsid w:val="00C25BBE"/>
    <w:rsid w:val="00C25CC9"/>
    <w:rsid w:val="00C25D3A"/>
    <w:rsid w:val="00C26213"/>
    <w:rsid w:val="00C2623A"/>
    <w:rsid w:val="00C26A5B"/>
    <w:rsid w:val="00C26FD8"/>
    <w:rsid w:val="00C27C12"/>
    <w:rsid w:val="00C30E3B"/>
    <w:rsid w:val="00C30EA7"/>
    <w:rsid w:val="00C3190C"/>
    <w:rsid w:val="00C31C4A"/>
    <w:rsid w:val="00C31EBA"/>
    <w:rsid w:val="00C32292"/>
    <w:rsid w:val="00C3249D"/>
    <w:rsid w:val="00C32C9F"/>
    <w:rsid w:val="00C32E08"/>
    <w:rsid w:val="00C33084"/>
    <w:rsid w:val="00C330F9"/>
    <w:rsid w:val="00C333EB"/>
    <w:rsid w:val="00C33856"/>
    <w:rsid w:val="00C33CE9"/>
    <w:rsid w:val="00C34298"/>
    <w:rsid w:val="00C34581"/>
    <w:rsid w:val="00C34D52"/>
    <w:rsid w:val="00C3500B"/>
    <w:rsid w:val="00C357B6"/>
    <w:rsid w:val="00C35DC4"/>
    <w:rsid w:val="00C36376"/>
    <w:rsid w:val="00C36431"/>
    <w:rsid w:val="00C364FB"/>
    <w:rsid w:val="00C36769"/>
    <w:rsid w:val="00C368BC"/>
    <w:rsid w:val="00C36A8A"/>
    <w:rsid w:val="00C36CD8"/>
    <w:rsid w:val="00C36DFA"/>
    <w:rsid w:val="00C36F0A"/>
    <w:rsid w:val="00C370DD"/>
    <w:rsid w:val="00C37A26"/>
    <w:rsid w:val="00C37EC7"/>
    <w:rsid w:val="00C37F0A"/>
    <w:rsid w:val="00C4011D"/>
    <w:rsid w:val="00C402FA"/>
    <w:rsid w:val="00C40340"/>
    <w:rsid w:val="00C4043A"/>
    <w:rsid w:val="00C40C18"/>
    <w:rsid w:val="00C413EF"/>
    <w:rsid w:val="00C41753"/>
    <w:rsid w:val="00C4179F"/>
    <w:rsid w:val="00C41E2D"/>
    <w:rsid w:val="00C4234E"/>
    <w:rsid w:val="00C42D95"/>
    <w:rsid w:val="00C42E17"/>
    <w:rsid w:val="00C430B8"/>
    <w:rsid w:val="00C43591"/>
    <w:rsid w:val="00C4385C"/>
    <w:rsid w:val="00C4397A"/>
    <w:rsid w:val="00C43B86"/>
    <w:rsid w:val="00C43C04"/>
    <w:rsid w:val="00C44037"/>
    <w:rsid w:val="00C4407B"/>
    <w:rsid w:val="00C44540"/>
    <w:rsid w:val="00C4473E"/>
    <w:rsid w:val="00C449AC"/>
    <w:rsid w:val="00C44C14"/>
    <w:rsid w:val="00C45339"/>
    <w:rsid w:val="00C457DE"/>
    <w:rsid w:val="00C45B80"/>
    <w:rsid w:val="00C4604B"/>
    <w:rsid w:val="00C467B0"/>
    <w:rsid w:val="00C46AB8"/>
    <w:rsid w:val="00C46FC0"/>
    <w:rsid w:val="00C47111"/>
    <w:rsid w:val="00C4766A"/>
    <w:rsid w:val="00C478B6"/>
    <w:rsid w:val="00C47C5C"/>
    <w:rsid w:val="00C50021"/>
    <w:rsid w:val="00C50992"/>
    <w:rsid w:val="00C50BAB"/>
    <w:rsid w:val="00C5158D"/>
    <w:rsid w:val="00C517E6"/>
    <w:rsid w:val="00C51A0F"/>
    <w:rsid w:val="00C51D59"/>
    <w:rsid w:val="00C51E1B"/>
    <w:rsid w:val="00C523D5"/>
    <w:rsid w:val="00C525C5"/>
    <w:rsid w:val="00C52A12"/>
    <w:rsid w:val="00C52BF7"/>
    <w:rsid w:val="00C52DC0"/>
    <w:rsid w:val="00C52F7D"/>
    <w:rsid w:val="00C53269"/>
    <w:rsid w:val="00C535BE"/>
    <w:rsid w:val="00C53BAE"/>
    <w:rsid w:val="00C5496B"/>
    <w:rsid w:val="00C556F9"/>
    <w:rsid w:val="00C55AF3"/>
    <w:rsid w:val="00C55D0D"/>
    <w:rsid w:val="00C55D66"/>
    <w:rsid w:val="00C55F30"/>
    <w:rsid w:val="00C56147"/>
    <w:rsid w:val="00C566A9"/>
    <w:rsid w:val="00C56BC2"/>
    <w:rsid w:val="00C56DEB"/>
    <w:rsid w:val="00C56ECE"/>
    <w:rsid w:val="00C56F27"/>
    <w:rsid w:val="00C5731C"/>
    <w:rsid w:val="00C57340"/>
    <w:rsid w:val="00C602F9"/>
    <w:rsid w:val="00C61B41"/>
    <w:rsid w:val="00C61C0A"/>
    <w:rsid w:val="00C61CA1"/>
    <w:rsid w:val="00C627A9"/>
    <w:rsid w:val="00C62846"/>
    <w:rsid w:val="00C62AB8"/>
    <w:rsid w:val="00C62DB1"/>
    <w:rsid w:val="00C63CB3"/>
    <w:rsid w:val="00C63F6D"/>
    <w:rsid w:val="00C64261"/>
    <w:rsid w:val="00C6467C"/>
    <w:rsid w:val="00C646BC"/>
    <w:rsid w:val="00C64C0A"/>
    <w:rsid w:val="00C65850"/>
    <w:rsid w:val="00C65C1F"/>
    <w:rsid w:val="00C660B3"/>
    <w:rsid w:val="00C66BA7"/>
    <w:rsid w:val="00C66BF1"/>
    <w:rsid w:val="00C6729F"/>
    <w:rsid w:val="00C673AF"/>
    <w:rsid w:val="00C70057"/>
    <w:rsid w:val="00C701B0"/>
    <w:rsid w:val="00C70850"/>
    <w:rsid w:val="00C708EC"/>
    <w:rsid w:val="00C70913"/>
    <w:rsid w:val="00C713C6"/>
    <w:rsid w:val="00C7140D"/>
    <w:rsid w:val="00C715DC"/>
    <w:rsid w:val="00C716F5"/>
    <w:rsid w:val="00C720B5"/>
    <w:rsid w:val="00C721A0"/>
    <w:rsid w:val="00C723F8"/>
    <w:rsid w:val="00C72FE5"/>
    <w:rsid w:val="00C732EF"/>
    <w:rsid w:val="00C73925"/>
    <w:rsid w:val="00C73DEC"/>
    <w:rsid w:val="00C7404A"/>
    <w:rsid w:val="00C7456C"/>
    <w:rsid w:val="00C7457F"/>
    <w:rsid w:val="00C7475B"/>
    <w:rsid w:val="00C75260"/>
    <w:rsid w:val="00C75A6A"/>
    <w:rsid w:val="00C75A95"/>
    <w:rsid w:val="00C7625B"/>
    <w:rsid w:val="00C766D8"/>
    <w:rsid w:val="00C768B5"/>
    <w:rsid w:val="00C76FC7"/>
    <w:rsid w:val="00C77814"/>
    <w:rsid w:val="00C77A6C"/>
    <w:rsid w:val="00C77CB1"/>
    <w:rsid w:val="00C8025C"/>
    <w:rsid w:val="00C802F6"/>
    <w:rsid w:val="00C80682"/>
    <w:rsid w:val="00C8076E"/>
    <w:rsid w:val="00C807B1"/>
    <w:rsid w:val="00C80BA4"/>
    <w:rsid w:val="00C81293"/>
    <w:rsid w:val="00C812A8"/>
    <w:rsid w:val="00C815E7"/>
    <w:rsid w:val="00C8172A"/>
    <w:rsid w:val="00C81897"/>
    <w:rsid w:val="00C81957"/>
    <w:rsid w:val="00C81D94"/>
    <w:rsid w:val="00C828C5"/>
    <w:rsid w:val="00C82F17"/>
    <w:rsid w:val="00C83046"/>
    <w:rsid w:val="00C83BC7"/>
    <w:rsid w:val="00C83CAF"/>
    <w:rsid w:val="00C83F88"/>
    <w:rsid w:val="00C8434C"/>
    <w:rsid w:val="00C846A2"/>
    <w:rsid w:val="00C848A0"/>
    <w:rsid w:val="00C8499C"/>
    <w:rsid w:val="00C84C77"/>
    <w:rsid w:val="00C84CEC"/>
    <w:rsid w:val="00C84D11"/>
    <w:rsid w:val="00C84E5A"/>
    <w:rsid w:val="00C85320"/>
    <w:rsid w:val="00C8536A"/>
    <w:rsid w:val="00C85B86"/>
    <w:rsid w:val="00C85C30"/>
    <w:rsid w:val="00C86606"/>
    <w:rsid w:val="00C8698C"/>
    <w:rsid w:val="00C86B13"/>
    <w:rsid w:val="00C8726A"/>
    <w:rsid w:val="00C8746F"/>
    <w:rsid w:val="00C87607"/>
    <w:rsid w:val="00C87A94"/>
    <w:rsid w:val="00C87B2A"/>
    <w:rsid w:val="00C87ED4"/>
    <w:rsid w:val="00C903C7"/>
    <w:rsid w:val="00C90813"/>
    <w:rsid w:val="00C9176C"/>
    <w:rsid w:val="00C91A0F"/>
    <w:rsid w:val="00C91FB5"/>
    <w:rsid w:val="00C92728"/>
    <w:rsid w:val="00C927C7"/>
    <w:rsid w:val="00C929E0"/>
    <w:rsid w:val="00C92E4E"/>
    <w:rsid w:val="00C9329E"/>
    <w:rsid w:val="00C9422A"/>
    <w:rsid w:val="00C94CF6"/>
    <w:rsid w:val="00C94D6A"/>
    <w:rsid w:val="00C94FA6"/>
    <w:rsid w:val="00C95154"/>
    <w:rsid w:val="00C95425"/>
    <w:rsid w:val="00C955C9"/>
    <w:rsid w:val="00C95E55"/>
    <w:rsid w:val="00C95EDA"/>
    <w:rsid w:val="00C963DA"/>
    <w:rsid w:val="00C96B3A"/>
    <w:rsid w:val="00C97305"/>
    <w:rsid w:val="00C97694"/>
    <w:rsid w:val="00C97DC5"/>
    <w:rsid w:val="00C97DD3"/>
    <w:rsid w:val="00CA0053"/>
    <w:rsid w:val="00CA04A4"/>
    <w:rsid w:val="00CA086C"/>
    <w:rsid w:val="00CA13D5"/>
    <w:rsid w:val="00CA1A5F"/>
    <w:rsid w:val="00CA1B5F"/>
    <w:rsid w:val="00CA1B86"/>
    <w:rsid w:val="00CA1BBF"/>
    <w:rsid w:val="00CA2F4B"/>
    <w:rsid w:val="00CA319A"/>
    <w:rsid w:val="00CA3526"/>
    <w:rsid w:val="00CA37E8"/>
    <w:rsid w:val="00CA3B80"/>
    <w:rsid w:val="00CA47A0"/>
    <w:rsid w:val="00CA49D7"/>
    <w:rsid w:val="00CA4A2B"/>
    <w:rsid w:val="00CA4C47"/>
    <w:rsid w:val="00CA4C62"/>
    <w:rsid w:val="00CA4D3B"/>
    <w:rsid w:val="00CA4DD3"/>
    <w:rsid w:val="00CA5842"/>
    <w:rsid w:val="00CA623E"/>
    <w:rsid w:val="00CA7A46"/>
    <w:rsid w:val="00CA7BA4"/>
    <w:rsid w:val="00CB0B64"/>
    <w:rsid w:val="00CB0D2E"/>
    <w:rsid w:val="00CB114E"/>
    <w:rsid w:val="00CB119A"/>
    <w:rsid w:val="00CB1208"/>
    <w:rsid w:val="00CB13AE"/>
    <w:rsid w:val="00CB235F"/>
    <w:rsid w:val="00CB2610"/>
    <w:rsid w:val="00CB2AD0"/>
    <w:rsid w:val="00CB2C63"/>
    <w:rsid w:val="00CB2D94"/>
    <w:rsid w:val="00CB497C"/>
    <w:rsid w:val="00CB586C"/>
    <w:rsid w:val="00CB5D02"/>
    <w:rsid w:val="00CB6470"/>
    <w:rsid w:val="00CB64CD"/>
    <w:rsid w:val="00CB65B9"/>
    <w:rsid w:val="00CB67AD"/>
    <w:rsid w:val="00CB6965"/>
    <w:rsid w:val="00CB69C2"/>
    <w:rsid w:val="00CB6B1C"/>
    <w:rsid w:val="00CB6DE8"/>
    <w:rsid w:val="00CB7540"/>
    <w:rsid w:val="00CB7928"/>
    <w:rsid w:val="00CB7C6E"/>
    <w:rsid w:val="00CC0ACA"/>
    <w:rsid w:val="00CC10E5"/>
    <w:rsid w:val="00CC14B4"/>
    <w:rsid w:val="00CC1651"/>
    <w:rsid w:val="00CC1A30"/>
    <w:rsid w:val="00CC1D5F"/>
    <w:rsid w:val="00CC28C8"/>
    <w:rsid w:val="00CC2A66"/>
    <w:rsid w:val="00CC2C75"/>
    <w:rsid w:val="00CC2DD5"/>
    <w:rsid w:val="00CC3472"/>
    <w:rsid w:val="00CC34D2"/>
    <w:rsid w:val="00CC362A"/>
    <w:rsid w:val="00CC3B56"/>
    <w:rsid w:val="00CC3D7C"/>
    <w:rsid w:val="00CC3E67"/>
    <w:rsid w:val="00CC403B"/>
    <w:rsid w:val="00CC44A8"/>
    <w:rsid w:val="00CC4B04"/>
    <w:rsid w:val="00CC5179"/>
    <w:rsid w:val="00CC531E"/>
    <w:rsid w:val="00CC554B"/>
    <w:rsid w:val="00CC5BC7"/>
    <w:rsid w:val="00CC5BD9"/>
    <w:rsid w:val="00CC6DA2"/>
    <w:rsid w:val="00CC7200"/>
    <w:rsid w:val="00CC7284"/>
    <w:rsid w:val="00CC7868"/>
    <w:rsid w:val="00CD000D"/>
    <w:rsid w:val="00CD06E3"/>
    <w:rsid w:val="00CD0C2E"/>
    <w:rsid w:val="00CD0FD5"/>
    <w:rsid w:val="00CD0FFF"/>
    <w:rsid w:val="00CD1734"/>
    <w:rsid w:val="00CD2027"/>
    <w:rsid w:val="00CD2385"/>
    <w:rsid w:val="00CD26C5"/>
    <w:rsid w:val="00CD3318"/>
    <w:rsid w:val="00CD3525"/>
    <w:rsid w:val="00CD4104"/>
    <w:rsid w:val="00CD4656"/>
    <w:rsid w:val="00CD4DFB"/>
    <w:rsid w:val="00CD51A9"/>
    <w:rsid w:val="00CD5AA0"/>
    <w:rsid w:val="00CD5F07"/>
    <w:rsid w:val="00CD6245"/>
    <w:rsid w:val="00CD6654"/>
    <w:rsid w:val="00CD69F2"/>
    <w:rsid w:val="00CD6AC9"/>
    <w:rsid w:val="00CD6B68"/>
    <w:rsid w:val="00CD72CA"/>
    <w:rsid w:val="00CD780D"/>
    <w:rsid w:val="00CE08CA"/>
    <w:rsid w:val="00CE15E4"/>
    <w:rsid w:val="00CE18F1"/>
    <w:rsid w:val="00CE1940"/>
    <w:rsid w:val="00CE19DD"/>
    <w:rsid w:val="00CE2730"/>
    <w:rsid w:val="00CE2C1B"/>
    <w:rsid w:val="00CE2F24"/>
    <w:rsid w:val="00CE315E"/>
    <w:rsid w:val="00CE3564"/>
    <w:rsid w:val="00CE3950"/>
    <w:rsid w:val="00CE3A0C"/>
    <w:rsid w:val="00CE3E75"/>
    <w:rsid w:val="00CE4419"/>
    <w:rsid w:val="00CE4772"/>
    <w:rsid w:val="00CE47BA"/>
    <w:rsid w:val="00CE486B"/>
    <w:rsid w:val="00CE4B4B"/>
    <w:rsid w:val="00CE53F5"/>
    <w:rsid w:val="00CE5487"/>
    <w:rsid w:val="00CE6DAE"/>
    <w:rsid w:val="00CE7008"/>
    <w:rsid w:val="00CE753B"/>
    <w:rsid w:val="00CE7C8E"/>
    <w:rsid w:val="00CE7DA6"/>
    <w:rsid w:val="00CF014E"/>
    <w:rsid w:val="00CF11AD"/>
    <w:rsid w:val="00CF133C"/>
    <w:rsid w:val="00CF1386"/>
    <w:rsid w:val="00CF1598"/>
    <w:rsid w:val="00CF176A"/>
    <w:rsid w:val="00CF17F9"/>
    <w:rsid w:val="00CF1CD5"/>
    <w:rsid w:val="00CF1FA3"/>
    <w:rsid w:val="00CF2AC6"/>
    <w:rsid w:val="00CF2DEB"/>
    <w:rsid w:val="00CF2F07"/>
    <w:rsid w:val="00CF34BD"/>
    <w:rsid w:val="00CF365B"/>
    <w:rsid w:val="00CF3968"/>
    <w:rsid w:val="00CF3BA6"/>
    <w:rsid w:val="00CF3E05"/>
    <w:rsid w:val="00CF4383"/>
    <w:rsid w:val="00CF4491"/>
    <w:rsid w:val="00CF4D46"/>
    <w:rsid w:val="00CF5B6E"/>
    <w:rsid w:val="00CF5D66"/>
    <w:rsid w:val="00CF6049"/>
    <w:rsid w:val="00CF62EB"/>
    <w:rsid w:val="00CF632F"/>
    <w:rsid w:val="00CF6346"/>
    <w:rsid w:val="00CF63A5"/>
    <w:rsid w:val="00CF64E6"/>
    <w:rsid w:val="00CF6C42"/>
    <w:rsid w:val="00CF6E92"/>
    <w:rsid w:val="00CF735D"/>
    <w:rsid w:val="00CF7725"/>
    <w:rsid w:val="00CF778B"/>
    <w:rsid w:val="00CF788A"/>
    <w:rsid w:val="00CF78CE"/>
    <w:rsid w:val="00D0013F"/>
    <w:rsid w:val="00D0064C"/>
    <w:rsid w:val="00D00C69"/>
    <w:rsid w:val="00D01482"/>
    <w:rsid w:val="00D02164"/>
    <w:rsid w:val="00D0216C"/>
    <w:rsid w:val="00D024B6"/>
    <w:rsid w:val="00D026A8"/>
    <w:rsid w:val="00D0299A"/>
    <w:rsid w:val="00D02A80"/>
    <w:rsid w:val="00D02CB2"/>
    <w:rsid w:val="00D02EA8"/>
    <w:rsid w:val="00D02FC0"/>
    <w:rsid w:val="00D03C01"/>
    <w:rsid w:val="00D04350"/>
    <w:rsid w:val="00D048AE"/>
    <w:rsid w:val="00D0517A"/>
    <w:rsid w:val="00D051A1"/>
    <w:rsid w:val="00D0590F"/>
    <w:rsid w:val="00D05B77"/>
    <w:rsid w:val="00D05BBC"/>
    <w:rsid w:val="00D063BC"/>
    <w:rsid w:val="00D07000"/>
    <w:rsid w:val="00D07335"/>
    <w:rsid w:val="00D0746B"/>
    <w:rsid w:val="00D07700"/>
    <w:rsid w:val="00D07926"/>
    <w:rsid w:val="00D079FA"/>
    <w:rsid w:val="00D07C55"/>
    <w:rsid w:val="00D07FF1"/>
    <w:rsid w:val="00D1017A"/>
    <w:rsid w:val="00D10CF9"/>
    <w:rsid w:val="00D10D9F"/>
    <w:rsid w:val="00D10FD2"/>
    <w:rsid w:val="00D1149F"/>
    <w:rsid w:val="00D114A4"/>
    <w:rsid w:val="00D11E8F"/>
    <w:rsid w:val="00D1232D"/>
    <w:rsid w:val="00D12652"/>
    <w:rsid w:val="00D12BEB"/>
    <w:rsid w:val="00D12D36"/>
    <w:rsid w:val="00D13180"/>
    <w:rsid w:val="00D134FB"/>
    <w:rsid w:val="00D13663"/>
    <w:rsid w:val="00D13991"/>
    <w:rsid w:val="00D13D32"/>
    <w:rsid w:val="00D13E37"/>
    <w:rsid w:val="00D13F01"/>
    <w:rsid w:val="00D14378"/>
    <w:rsid w:val="00D1480A"/>
    <w:rsid w:val="00D14A29"/>
    <w:rsid w:val="00D14F40"/>
    <w:rsid w:val="00D154A2"/>
    <w:rsid w:val="00D15988"/>
    <w:rsid w:val="00D15AE0"/>
    <w:rsid w:val="00D162A5"/>
    <w:rsid w:val="00D16A97"/>
    <w:rsid w:val="00D175F5"/>
    <w:rsid w:val="00D17645"/>
    <w:rsid w:val="00D17B0C"/>
    <w:rsid w:val="00D17BD1"/>
    <w:rsid w:val="00D17D2B"/>
    <w:rsid w:val="00D20193"/>
    <w:rsid w:val="00D2052D"/>
    <w:rsid w:val="00D20AAF"/>
    <w:rsid w:val="00D20DCD"/>
    <w:rsid w:val="00D20FCE"/>
    <w:rsid w:val="00D21080"/>
    <w:rsid w:val="00D2194B"/>
    <w:rsid w:val="00D21F76"/>
    <w:rsid w:val="00D21FCD"/>
    <w:rsid w:val="00D22814"/>
    <w:rsid w:val="00D22AC9"/>
    <w:rsid w:val="00D22B2B"/>
    <w:rsid w:val="00D22F2E"/>
    <w:rsid w:val="00D23355"/>
    <w:rsid w:val="00D2412E"/>
    <w:rsid w:val="00D24A1B"/>
    <w:rsid w:val="00D262B4"/>
    <w:rsid w:val="00D26C6E"/>
    <w:rsid w:val="00D26D99"/>
    <w:rsid w:val="00D27624"/>
    <w:rsid w:val="00D27ED3"/>
    <w:rsid w:val="00D30836"/>
    <w:rsid w:val="00D3094A"/>
    <w:rsid w:val="00D30A86"/>
    <w:rsid w:val="00D30BDF"/>
    <w:rsid w:val="00D31112"/>
    <w:rsid w:val="00D314E5"/>
    <w:rsid w:val="00D31514"/>
    <w:rsid w:val="00D315C0"/>
    <w:rsid w:val="00D31E3A"/>
    <w:rsid w:val="00D31EEC"/>
    <w:rsid w:val="00D31FFB"/>
    <w:rsid w:val="00D3247F"/>
    <w:rsid w:val="00D32E6A"/>
    <w:rsid w:val="00D334FB"/>
    <w:rsid w:val="00D335CD"/>
    <w:rsid w:val="00D338B8"/>
    <w:rsid w:val="00D338FB"/>
    <w:rsid w:val="00D33918"/>
    <w:rsid w:val="00D33CF4"/>
    <w:rsid w:val="00D34B77"/>
    <w:rsid w:val="00D357BA"/>
    <w:rsid w:val="00D35D10"/>
    <w:rsid w:val="00D36354"/>
    <w:rsid w:val="00D364F9"/>
    <w:rsid w:val="00D36524"/>
    <w:rsid w:val="00D36679"/>
    <w:rsid w:val="00D369D2"/>
    <w:rsid w:val="00D36D5A"/>
    <w:rsid w:val="00D3727E"/>
    <w:rsid w:val="00D374D1"/>
    <w:rsid w:val="00D37E8A"/>
    <w:rsid w:val="00D37FB7"/>
    <w:rsid w:val="00D37FEE"/>
    <w:rsid w:val="00D40673"/>
    <w:rsid w:val="00D40FB5"/>
    <w:rsid w:val="00D410CF"/>
    <w:rsid w:val="00D41BA9"/>
    <w:rsid w:val="00D42B56"/>
    <w:rsid w:val="00D431EE"/>
    <w:rsid w:val="00D433D4"/>
    <w:rsid w:val="00D43CEB"/>
    <w:rsid w:val="00D43E0E"/>
    <w:rsid w:val="00D43EC4"/>
    <w:rsid w:val="00D44149"/>
    <w:rsid w:val="00D453FC"/>
    <w:rsid w:val="00D456BA"/>
    <w:rsid w:val="00D45832"/>
    <w:rsid w:val="00D45B03"/>
    <w:rsid w:val="00D46C69"/>
    <w:rsid w:val="00D46F77"/>
    <w:rsid w:val="00D47385"/>
    <w:rsid w:val="00D4742A"/>
    <w:rsid w:val="00D4766D"/>
    <w:rsid w:val="00D47A17"/>
    <w:rsid w:val="00D5022B"/>
    <w:rsid w:val="00D5077A"/>
    <w:rsid w:val="00D508AF"/>
    <w:rsid w:val="00D50AC7"/>
    <w:rsid w:val="00D50E24"/>
    <w:rsid w:val="00D51143"/>
    <w:rsid w:val="00D518F8"/>
    <w:rsid w:val="00D51DE7"/>
    <w:rsid w:val="00D52185"/>
    <w:rsid w:val="00D525C2"/>
    <w:rsid w:val="00D5264B"/>
    <w:rsid w:val="00D526A7"/>
    <w:rsid w:val="00D52764"/>
    <w:rsid w:val="00D52971"/>
    <w:rsid w:val="00D52A40"/>
    <w:rsid w:val="00D53ACB"/>
    <w:rsid w:val="00D53B97"/>
    <w:rsid w:val="00D53BF8"/>
    <w:rsid w:val="00D53D1B"/>
    <w:rsid w:val="00D53FE3"/>
    <w:rsid w:val="00D54363"/>
    <w:rsid w:val="00D543CC"/>
    <w:rsid w:val="00D5448A"/>
    <w:rsid w:val="00D555EC"/>
    <w:rsid w:val="00D55A72"/>
    <w:rsid w:val="00D56DD1"/>
    <w:rsid w:val="00D5706A"/>
    <w:rsid w:val="00D57415"/>
    <w:rsid w:val="00D57575"/>
    <w:rsid w:val="00D57590"/>
    <w:rsid w:val="00D576CC"/>
    <w:rsid w:val="00D57E35"/>
    <w:rsid w:val="00D600BC"/>
    <w:rsid w:val="00D60166"/>
    <w:rsid w:val="00D607DB"/>
    <w:rsid w:val="00D60B90"/>
    <w:rsid w:val="00D60C65"/>
    <w:rsid w:val="00D60D3B"/>
    <w:rsid w:val="00D60EBE"/>
    <w:rsid w:val="00D60FE5"/>
    <w:rsid w:val="00D610EF"/>
    <w:rsid w:val="00D6145E"/>
    <w:rsid w:val="00D61784"/>
    <w:rsid w:val="00D62809"/>
    <w:rsid w:val="00D62863"/>
    <w:rsid w:val="00D62F1C"/>
    <w:rsid w:val="00D630E8"/>
    <w:rsid w:val="00D6341D"/>
    <w:rsid w:val="00D63FE7"/>
    <w:rsid w:val="00D64AFA"/>
    <w:rsid w:val="00D64D35"/>
    <w:rsid w:val="00D65115"/>
    <w:rsid w:val="00D65CE5"/>
    <w:rsid w:val="00D65DC0"/>
    <w:rsid w:val="00D660E4"/>
    <w:rsid w:val="00D6610D"/>
    <w:rsid w:val="00D66561"/>
    <w:rsid w:val="00D665E4"/>
    <w:rsid w:val="00D667FB"/>
    <w:rsid w:val="00D66AFF"/>
    <w:rsid w:val="00D66C96"/>
    <w:rsid w:val="00D6724E"/>
    <w:rsid w:val="00D70D3F"/>
    <w:rsid w:val="00D70F79"/>
    <w:rsid w:val="00D711D8"/>
    <w:rsid w:val="00D712E9"/>
    <w:rsid w:val="00D714A5"/>
    <w:rsid w:val="00D71D87"/>
    <w:rsid w:val="00D72514"/>
    <w:rsid w:val="00D732D7"/>
    <w:rsid w:val="00D735B1"/>
    <w:rsid w:val="00D73866"/>
    <w:rsid w:val="00D73FF4"/>
    <w:rsid w:val="00D7409B"/>
    <w:rsid w:val="00D7471F"/>
    <w:rsid w:val="00D747F0"/>
    <w:rsid w:val="00D74AFE"/>
    <w:rsid w:val="00D75338"/>
    <w:rsid w:val="00D75921"/>
    <w:rsid w:val="00D75AAC"/>
    <w:rsid w:val="00D76571"/>
    <w:rsid w:val="00D76576"/>
    <w:rsid w:val="00D7671E"/>
    <w:rsid w:val="00D7682E"/>
    <w:rsid w:val="00D76B40"/>
    <w:rsid w:val="00D76E1D"/>
    <w:rsid w:val="00D7727B"/>
    <w:rsid w:val="00D77A3A"/>
    <w:rsid w:val="00D77DC2"/>
    <w:rsid w:val="00D80B11"/>
    <w:rsid w:val="00D80F04"/>
    <w:rsid w:val="00D817C0"/>
    <w:rsid w:val="00D8279A"/>
    <w:rsid w:val="00D827B2"/>
    <w:rsid w:val="00D82D58"/>
    <w:rsid w:val="00D82E0C"/>
    <w:rsid w:val="00D831B2"/>
    <w:rsid w:val="00D838EA"/>
    <w:rsid w:val="00D839C3"/>
    <w:rsid w:val="00D83DFE"/>
    <w:rsid w:val="00D848EC"/>
    <w:rsid w:val="00D84953"/>
    <w:rsid w:val="00D85065"/>
    <w:rsid w:val="00D85336"/>
    <w:rsid w:val="00D85CB8"/>
    <w:rsid w:val="00D863FC"/>
    <w:rsid w:val="00D879C1"/>
    <w:rsid w:val="00D90CC1"/>
    <w:rsid w:val="00D90D49"/>
    <w:rsid w:val="00D917EC"/>
    <w:rsid w:val="00D91B9C"/>
    <w:rsid w:val="00D91D4B"/>
    <w:rsid w:val="00D92334"/>
    <w:rsid w:val="00D928DA"/>
    <w:rsid w:val="00D9293C"/>
    <w:rsid w:val="00D929DD"/>
    <w:rsid w:val="00D92C7C"/>
    <w:rsid w:val="00D92CE9"/>
    <w:rsid w:val="00D93075"/>
    <w:rsid w:val="00D9343B"/>
    <w:rsid w:val="00D9367D"/>
    <w:rsid w:val="00D94296"/>
    <w:rsid w:val="00D94894"/>
    <w:rsid w:val="00D95986"/>
    <w:rsid w:val="00D95B32"/>
    <w:rsid w:val="00D96AAE"/>
    <w:rsid w:val="00D96FCB"/>
    <w:rsid w:val="00D9741F"/>
    <w:rsid w:val="00D97D8A"/>
    <w:rsid w:val="00DA0C46"/>
    <w:rsid w:val="00DA152B"/>
    <w:rsid w:val="00DA1A1C"/>
    <w:rsid w:val="00DA1F90"/>
    <w:rsid w:val="00DA2C4B"/>
    <w:rsid w:val="00DA31EA"/>
    <w:rsid w:val="00DA345B"/>
    <w:rsid w:val="00DA35A8"/>
    <w:rsid w:val="00DA3B53"/>
    <w:rsid w:val="00DA416D"/>
    <w:rsid w:val="00DA41D3"/>
    <w:rsid w:val="00DA42A1"/>
    <w:rsid w:val="00DA4B54"/>
    <w:rsid w:val="00DA4D2F"/>
    <w:rsid w:val="00DA597B"/>
    <w:rsid w:val="00DA6532"/>
    <w:rsid w:val="00DA6733"/>
    <w:rsid w:val="00DA6BA1"/>
    <w:rsid w:val="00DA7CE2"/>
    <w:rsid w:val="00DB144C"/>
    <w:rsid w:val="00DB20CA"/>
    <w:rsid w:val="00DB2439"/>
    <w:rsid w:val="00DB33B9"/>
    <w:rsid w:val="00DB351A"/>
    <w:rsid w:val="00DB3556"/>
    <w:rsid w:val="00DB3CB0"/>
    <w:rsid w:val="00DB4641"/>
    <w:rsid w:val="00DB4C6F"/>
    <w:rsid w:val="00DB4D4B"/>
    <w:rsid w:val="00DB5120"/>
    <w:rsid w:val="00DB5947"/>
    <w:rsid w:val="00DB5AEB"/>
    <w:rsid w:val="00DB5CF3"/>
    <w:rsid w:val="00DB6199"/>
    <w:rsid w:val="00DB6715"/>
    <w:rsid w:val="00DB6BF9"/>
    <w:rsid w:val="00DB6F18"/>
    <w:rsid w:val="00DB6F33"/>
    <w:rsid w:val="00DB753A"/>
    <w:rsid w:val="00DB7FA5"/>
    <w:rsid w:val="00DC007F"/>
    <w:rsid w:val="00DC02C6"/>
    <w:rsid w:val="00DC037C"/>
    <w:rsid w:val="00DC08EF"/>
    <w:rsid w:val="00DC1084"/>
    <w:rsid w:val="00DC1115"/>
    <w:rsid w:val="00DC188C"/>
    <w:rsid w:val="00DC2238"/>
    <w:rsid w:val="00DC2497"/>
    <w:rsid w:val="00DC2767"/>
    <w:rsid w:val="00DC2960"/>
    <w:rsid w:val="00DC313D"/>
    <w:rsid w:val="00DC358C"/>
    <w:rsid w:val="00DC3DE6"/>
    <w:rsid w:val="00DC3F3D"/>
    <w:rsid w:val="00DC4B84"/>
    <w:rsid w:val="00DC4CF1"/>
    <w:rsid w:val="00DC5116"/>
    <w:rsid w:val="00DC5855"/>
    <w:rsid w:val="00DC58B7"/>
    <w:rsid w:val="00DC590A"/>
    <w:rsid w:val="00DC5C95"/>
    <w:rsid w:val="00DC5E2B"/>
    <w:rsid w:val="00DC60E3"/>
    <w:rsid w:val="00DC6745"/>
    <w:rsid w:val="00DC6B10"/>
    <w:rsid w:val="00DC765F"/>
    <w:rsid w:val="00DC7952"/>
    <w:rsid w:val="00DC7989"/>
    <w:rsid w:val="00DC7D44"/>
    <w:rsid w:val="00DD06D6"/>
    <w:rsid w:val="00DD079B"/>
    <w:rsid w:val="00DD0BA8"/>
    <w:rsid w:val="00DD132D"/>
    <w:rsid w:val="00DD1830"/>
    <w:rsid w:val="00DD2034"/>
    <w:rsid w:val="00DD21CA"/>
    <w:rsid w:val="00DD285E"/>
    <w:rsid w:val="00DD2E28"/>
    <w:rsid w:val="00DD2F99"/>
    <w:rsid w:val="00DD35BB"/>
    <w:rsid w:val="00DD393B"/>
    <w:rsid w:val="00DD396D"/>
    <w:rsid w:val="00DD41A7"/>
    <w:rsid w:val="00DD4778"/>
    <w:rsid w:val="00DD47D0"/>
    <w:rsid w:val="00DD4986"/>
    <w:rsid w:val="00DD4B20"/>
    <w:rsid w:val="00DD4DA9"/>
    <w:rsid w:val="00DD54E1"/>
    <w:rsid w:val="00DD5D0B"/>
    <w:rsid w:val="00DD6114"/>
    <w:rsid w:val="00DD6165"/>
    <w:rsid w:val="00DD6EC4"/>
    <w:rsid w:val="00DD75DF"/>
    <w:rsid w:val="00DD76A4"/>
    <w:rsid w:val="00DD7C70"/>
    <w:rsid w:val="00DE0105"/>
    <w:rsid w:val="00DE02B7"/>
    <w:rsid w:val="00DE0A34"/>
    <w:rsid w:val="00DE1242"/>
    <w:rsid w:val="00DE19DA"/>
    <w:rsid w:val="00DE2205"/>
    <w:rsid w:val="00DE2D6D"/>
    <w:rsid w:val="00DE2D82"/>
    <w:rsid w:val="00DE342C"/>
    <w:rsid w:val="00DE35DA"/>
    <w:rsid w:val="00DE3E8F"/>
    <w:rsid w:val="00DE437D"/>
    <w:rsid w:val="00DE4E25"/>
    <w:rsid w:val="00DE4F33"/>
    <w:rsid w:val="00DE52C6"/>
    <w:rsid w:val="00DE53FD"/>
    <w:rsid w:val="00DE5CC9"/>
    <w:rsid w:val="00DE6179"/>
    <w:rsid w:val="00DE641E"/>
    <w:rsid w:val="00DE67C1"/>
    <w:rsid w:val="00DE6BB2"/>
    <w:rsid w:val="00DE6BCB"/>
    <w:rsid w:val="00DE6D7C"/>
    <w:rsid w:val="00DE7250"/>
    <w:rsid w:val="00DE72B0"/>
    <w:rsid w:val="00DF02EE"/>
    <w:rsid w:val="00DF06B5"/>
    <w:rsid w:val="00DF07A6"/>
    <w:rsid w:val="00DF07FF"/>
    <w:rsid w:val="00DF0925"/>
    <w:rsid w:val="00DF1384"/>
    <w:rsid w:val="00DF13B0"/>
    <w:rsid w:val="00DF1D66"/>
    <w:rsid w:val="00DF23FF"/>
    <w:rsid w:val="00DF2479"/>
    <w:rsid w:val="00DF2902"/>
    <w:rsid w:val="00DF2BF9"/>
    <w:rsid w:val="00DF2D11"/>
    <w:rsid w:val="00DF2F28"/>
    <w:rsid w:val="00DF39B2"/>
    <w:rsid w:val="00DF4194"/>
    <w:rsid w:val="00DF43F4"/>
    <w:rsid w:val="00DF4A2D"/>
    <w:rsid w:val="00DF4EAA"/>
    <w:rsid w:val="00DF52C2"/>
    <w:rsid w:val="00DF5CE3"/>
    <w:rsid w:val="00DF5D63"/>
    <w:rsid w:val="00DF6064"/>
    <w:rsid w:val="00DF6B8F"/>
    <w:rsid w:val="00DF6F19"/>
    <w:rsid w:val="00DF7379"/>
    <w:rsid w:val="00E00877"/>
    <w:rsid w:val="00E00BB0"/>
    <w:rsid w:val="00E00CF1"/>
    <w:rsid w:val="00E00FA1"/>
    <w:rsid w:val="00E0109C"/>
    <w:rsid w:val="00E011A4"/>
    <w:rsid w:val="00E01609"/>
    <w:rsid w:val="00E01ACD"/>
    <w:rsid w:val="00E01E5F"/>
    <w:rsid w:val="00E01EA8"/>
    <w:rsid w:val="00E02096"/>
    <w:rsid w:val="00E0210A"/>
    <w:rsid w:val="00E02FE0"/>
    <w:rsid w:val="00E03904"/>
    <w:rsid w:val="00E0413B"/>
    <w:rsid w:val="00E045AE"/>
    <w:rsid w:val="00E04DD5"/>
    <w:rsid w:val="00E05B29"/>
    <w:rsid w:val="00E05BFA"/>
    <w:rsid w:val="00E05C8B"/>
    <w:rsid w:val="00E05DDF"/>
    <w:rsid w:val="00E06221"/>
    <w:rsid w:val="00E06222"/>
    <w:rsid w:val="00E0644A"/>
    <w:rsid w:val="00E06E86"/>
    <w:rsid w:val="00E075F6"/>
    <w:rsid w:val="00E0772D"/>
    <w:rsid w:val="00E07B39"/>
    <w:rsid w:val="00E07B4A"/>
    <w:rsid w:val="00E1060E"/>
    <w:rsid w:val="00E10BC1"/>
    <w:rsid w:val="00E11581"/>
    <w:rsid w:val="00E120FD"/>
    <w:rsid w:val="00E12240"/>
    <w:rsid w:val="00E12C4B"/>
    <w:rsid w:val="00E1322A"/>
    <w:rsid w:val="00E1345A"/>
    <w:rsid w:val="00E13656"/>
    <w:rsid w:val="00E13FD4"/>
    <w:rsid w:val="00E14168"/>
    <w:rsid w:val="00E142A3"/>
    <w:rsid w:val="00E1456B"/>
    <w:rsid w:val="00E145CE"/>
    <w:rsid w:val="00E14A99"/>
    <w:rsid w:val="00E14E08"/>
    <w:rsid w:val="00E15032"/>
    <w:rsid w:val="00E151F9"/>
    <w:rsid w:val="00E15366"/>
    <w:rsid w:val="00E154BF"/>
    <w:rsid w:val="00E159DB"/>
    <w:rsid w:val="00E15F2A"/>
    <w:rsid w:val="00E16090"/>
    <w:rsid w:val="00E16133"/>
    <w:rsid w:val="00E16253"/>
    <w:rsid w:val="00E162EF"/>
    <w:rsid w:val="00E166E3"/>
    <w:rsid w:val="00E1677D"/>
    <w:rsid w:val="00E16794"/>
    <w:rsid w:val="00E16956"/>
    <w:rsid w:val="00E176BD"/>
    <w:rsid w:val="00E20103"/>
    <w:rsid w:val="00E20494"/>
    <w:rsid w:val="00E20FF2"/>
    <w:rsid w:val="00E21523"/>
    <w:rsid w:val="00E21AF7"/>
    <w:rsid w:val="00E224BB"/>
    <w:rsid w:val="00E224C3"/>
    <w:rsid w:val="00E22B03"/>
    <w:rsid w:val="00E22D55"/>
    <w:rsid w:val="00E22FDA"/>
    <w:rsid w:val="00E2407F"/>
    <w:rsid w:val="00E247D0"/>
    <w:rsid w:val="00E25075"/>
    <w:rsid w:val="00E258AB"/>
    <w:rsid w:val="00E25B5B"/>
    <w:rsid w:val="00E25E36"/>
    <w:rsid w:val="00E25E4A"/>
    <w:rsid w:val="00E269B9"/>
    <w:rsid w:val="00E26EE2"/>
    <w:rsid w:val="00E27929"/>
    <w:rsid w:val="00E27CB2"/>
    <w:rsid w:val="00E30095"/>
    <w:rsid w:val="00E30374"/>
    <w:rsid w:val="00E30576"/>
    <w:rsid w:val="00E30894"/>
    <w:rsid w:val="00E30B76"/>
    <w:rsid w:val="00E30D9A"/>
    <w:rsid w:val="00E30E56"/>
    <w:rsid w:val="00E3172B"/>
    <w:rsid w:val="00E31B31"/>
    <w:rsid w:val="00E31B56"/>
    <w:rsid w:val="00E31D6D"/>
    <w:rsid w:val="00E31D91"/>
    <w:rsid w:val="00E321A2"/>
    <w:rsid w:val="00E3268E"/>
    <w:rsid w:val="00E32E1B"/>
    <w:rsid w:val="00E332B0"/>
    <w:rsid w:val="00E33926"/>
    <w:rsid w:val="00E33A72"/>
    <w:rsid w:val="00E33AF5"/>
    <w:rsid w:val="00E33C6E"/>
    <w:rsid w:val="00E33F0C"/>
    <w:rsid w:val="00E33FA5"/>
    <w:rsid w:val="00E343A8"/>
    <w:rsid w:val="00E34BAF"/>
    <w:rsid w:val="00E34FD7"/>
    <w:rsid w:val="00E351A1"/>
    <w:rsid w:val="00E351FB"/>
    <w:rsid w:val="00E3533F"/>
    <w:rsid w:val="00E35A63"/>
    <w:rsid w:val="00E35CC8"/>
    <w:rsid w:val="00E35E08"/>
    <w:rsid w:val="00E35F17"/>
    <w:rsid w:val="00E36347"/>
    <w:rsid w:val="00E365A2"/>
    <w:rsid w:val="00E36818"/>
    <w:rsid w:val="00E36EDB"/>
    <w:rsid w:val="00E37546"/>
    <w:rsid w:val="00E375DB"/>
    <w:rsid w:val="00E37651"/>
    <w:rsid w:val="00E376C1"/>
    <w:rsid w:val="00E37956"/>
    <w:rsid w:val="00E400F2"/>
    <w:rsid w:val="00E40882"/>
    <w:rsid w:val="00E40BDF"/>
    <w:rsid w:val="00E41388"/>
    <w:rsid w:val="00E4191A"/>
    <w:rsid w:val="00E41F6D"/>
    <w:rsid w:val="00E4223D"/>
    <w:rsid w:val="00E4277B"/>
    <w:rsid w:val="00E427D6"/>
    <w:rsid w:val="00E427D9"/>
    <w:rsid w:val="00E42C0A"/>
    <w:rsid w:val="00E42E33"/>
    <w:rsid w:val="00E43698"/>
    <w:rsid w:val="00E43942"/>
    <w:rsid w:val="00E44173"/>
    <w:rsid w:val="00E442ED"/>
    <w:rsid w:val="00E444D7"/>
    <w:rsid w:val="00E446B1"/>
    <w:rsid w:val="00E446C3"/>
    <w:rsid w:val="00E44DE3"/>
    <w:rsid w:val="00E4547F"/>
    <w:rsid w:val="00E45AB2"/>
    <w:rsid w:val="00E45F7A"/>
    <w:rsid w:val="00E46097"/>
    <w:rsid w:val="00E463A0"/>
    <w:rsid w:val="00E47A38"/>
    <w:rsid w:val="00E47B73"/>
    <w:rsid w:val="00E5022A"/>
    <w:rsid w:val="00E50493"/>
    <w:rsid w:val="00E5078A"/>
    <w:rsid w:val="00E5084B"/>
    <w:rsid w:val="00E50E61"/>
    <w:rsid w:val="00E51962"/>
    <w:rsid w:val="00E52B83"/>
    <w:rsid w:val="00E52B8A"/>
    <w:rsid w:val="00E52D38"/>
    <w:rsid w:val="00E531E3"/>
    <w:rsid w:val="00E53E10"/>
    <w:rsid w:val="00E53F5E"/>
    <w:rsid w:val="00E5427F"/>
    <w:rsid w:val="00E54431"/>
    <w:rsid w:val="00E54936"/>
    <w:rsid w:val="00E54A46"/>
    <w:rsid w:val="00E550E1"/>
    <w:rsid w:val="00E551E4"/>
    <w:rsid w:val="00E555B9"/>
    <w:rsid w:val="00E557F7"/>
    <w:rsid w:val="00E55846"/>
    <w:rsid w:val="00E562E4"/>
    <w:rsid w:val="00E564C6"/>
    <w:rsid w:val="00E566A0"/>
    <w:rsid w:val="00E57279"/>
    <w:rsid w:val="00E57559"/>
    <w:rsid w:val="00E579FF"/>
    <w:rsid w:val="00E57D57"/>
    <w:rsid w:val="00E57D99"/>
    <w:rsid w:val="00E6103B"/>
    <w:rsid w:val="00E624E4"/>
    <w:rsid w:val="00E629C3"/>
    <w:rsid w:val="00E63582"/>
    <w:rsid w:val="00E635BF"/>
    <w:rsid w:val="00E63A76"/>
    <w:rsid w:val="00E63CCE"/>
    <w:rsid w:val="00E63DB3"/>
    <w:rsid w:val="00E646BF"/>
    <w:rsid w:val="00E64F58"/>
    <w:rsid w:val="00E65508"/>
    <w:rsid w:val="00E658C9"/>
    <w:rsid w:val="00E65D0E"/>
    <w:rsid w:val="00E662F6"/>
    <w:rsid w:val="00E664CE"/>
    <w:rsid w:val="00E665CF"/>
    <w:rsid w:val="00E667D7"/>
    <w:rsid w:val="00E668E5"/>
    <w:rsid w:val="00E66934"/>
    <w:rsid w:val="00E66B98"/>
    <w:rsid w:val="00E66CDC"/>
    <w:rsid w:val="00E67044"/>
    <w:rsid w:val="00E671BF"/>
    <w:rsid w:val="00E677FD"/>
    <w:rsid w:val="00E67F03"/>
    <w:rsid w:val="00E70560"/>
    <w:rsid w:val="00E70675"/>
    <w:rsid w:val="00E70D4A"/>
    <w:rsid w:val="00E70E7A"/>
    <w:rsid w:val="00E710DD"/>
    <w:rsid w:val="00E71607"/>
    <w:rsid w:val="00E72519"/>
    <w:rsid w:val="00E72B5A"/>
    <w:rsid w:val="00E73268"/>
    <w:rsid w:val="00E73A5E"/>
    <w:rsid w:val="00E73C8A"/>
    <w:rsid w:val="00E74CEF"/>
    <w:rsid w:val="00E74EC1"/>
    <w:rsid w:val="00E75160"/>
    <w:rsid w:val="00E75250"/>
    <w:rsid w:val="00E753B5"/>
    <w:rsid w:val="00E75D0A"/>
    <w:rsid w:val="00E764AB"/>
    <w:rsid w:val="00E764D6"/>
    <w:rsid w:val="00E76A0D"/>
    <w:rsid w:val="00E76F6C"/>
    <w:rsid w:val="00E77203"/>
    <w:rsid w:val="00E773E0"/>
    <w:rsid w:val="00E77E10"/>
    <w:rsid w:val="00E808EC"/>
    <w:rsid w:val="00E81342"/>
    <w:rsid w:val="00E814DE"/>
    <w:rsid w:val="00E81708"/>
    <w:rsid w:val="00E8174B"/>
    <w:rsid w:val="00E81987"/>
    <w:rsid w:val="00E81DDA"/>
    <w:rsid w:val="00E821AA"/>
    <w:rsid w:val="00E82546"/>
    <w:rsid w:val="00E827DC"/>
    <w:rsid w:val="00E82A04"/>
    <w:rsid w:val="00E83236"/>
    <w:rsid w:val="00E83658"/>
    <w:rsid w:val="00E8377F"/>
    <w:rsid w:val="00E83865"/>
    <w:rsid w:val="00E840AC"/>
    <w:rsid w:val="00E84425"/>
    <w:rsid w:val="00E84BC1"/>
    <w:rsid w:val="00E851E8"/>
    <w:rsid w:val="00E852B5"/>
    <w:rsid w:val="00E85529"/>
    <w:rsid w:val="00E8568F"/>
    <w:rsid w:val="00E857A6"/>
    <w:rsid w:val="00E85B7A"/>
    <w:rsid w:val="00E85F01"/>
    <w:rsid w:val="00E85F0D"/>
    <w:rsid w:val="00E861FD"/>
    <w:rsid w:val="00E866FA"/>
    <w:rsid w:val="00E8686E"/>
    <w:rsid w:val="00E869D5"/>
    <w:rsid w:val="00E86F41"/>
    <w:rsid w:val="00E86FE7"/>
    <w:rsid w:val="00E87066"/>
    <w:rsid w:val="00E8709E"/>
    <w:rsid w:val="00E8737C"/>
    <w:rsid w:val="00E87FEA"/>
    <w:rsid w:val="00E90810"/>
    <w:rsid w:val="00E90886"/>
    <w:rsid w:val="00E90AD6"/>
    <w:rsid w:val="00E9116D"/>
    <w:rsid w:val="00E911B4"/>
    <w:rsid w:val="00E91318"/>
    <w:rsid w:val="00E9143A"/>
    <w:rsid w:val="00E914EF"/>
    <w:rsid w:val="00E920CE"/>
    <w:rsid w:val="00E9213A"/>
    <w:rsid w:val="00E92521"/>
    <w:rsid w:val="00E92798"/>
    <w:rsid w:val="00E92A3B"/>
    <w:rsid w:val="00E935BC"/>
    <w:rsid w:val="00E9362F"/>
    <w:rsid w:val="00E937A5"/>
    <w:rsid w:val="00E938EE"/>
    <w:rsid w:val="00E93FF7"/>
    <w:rsid w:val="00E94175"/>
    <w:rsid w:val="00E94695"/>
    <w:rsid w:val="00E94C0C"/>
    <w:rsid w:val="00E94E38"/>
    <w:rsid w:val="00E9544B"/>
    <w:rsid w:val="00E95855"/>
    <w:rsid w:val="00E95E32"/>
    <w:rsid w:val="00E95E43"/>
    <w:rsid w:val="00E960A9"/>
    <w:rsid w:val="00E9644E"/>
    <w:rsid w:val="00E967B5"/>
    <w:rsid w:val="00E96AE5"/>
    <w:rsid w:val="00E97005"/>
    <w:rsid w:val="00E972D4"/>
    <w:rsid w:val="00E9746C"/>
    <w:rsid w:val="00E974E6"/>
    <w:rsid w:val="00E97684"/>
    <w:rsid w:val="00E977E6"/>
    <w:rsid w:val="00E97B2D"/>
    <w:rsid w:val="00EA081A"/>
    <w:rsid w:val="00EA0986"/>
    <w:rsid w:val="00EA0B3F"/>
    <w:rsid w:val="00EA0FDF"/>
    <w:rsid w:val="00EA1124"/>
    <w:rsid w:val="00EA1983"/>
    <w:rsid w:val="00EA1F22"/>
    <w:rsid w:val="00EA2037"/>
    <w:rsid w:val="00EA2305"/>
    <w:rsid w:val="00EA26B8"/>
    <w:rsid w:val="00EA27E9"/>
    <w:rsid w:val="00EA2872"/>
    <w:rsid w:val="00EA2913"/>
    <w:rsid w:val="00EA296F"/>
    <w:rsid w:val="00EA2CA0"/>
    <w:rsid w:val="00EA31C5"/>
    <w:rsid w:val="00EA348A"/>
    <w:rsid w:val="00EA3958"/>
    <w:rsid w:val="00EA396D"/>
    <w:rsid w:val="00EA3E71"/>
    <w:rsid w:val="00EA4755"/>
    <w:rsid w:val="00EA48E5"/>
    <w:rsid w:val="00EA4CE3"/>
    <w:rsid w:val="00EA4D5D"/>
    <w:rsid w:val="00EA5142"/>
    <w:rsid w:val="00EA5516"/>
    <w:rsid w:val="00EA55C6"/>
    <w:rsid w:val="00EA6446"/>
    <w:rsid w:val="00EA6762"/>
    <w:rsid w:val="00EA67FD"/>
    <w:rsid w:val="00EA71F7"/>
    <w:rsid w:val="00EA7BD1"/>
    <w:rsid w:val="00EB08A0"/>
    <w:rsid w:val="00EB0AE1"/>
    <w:rsid w:val="00EB0FB6"/>
    <w:rsid w:val="00EB1C9F"/>
    <w:rsid w:val="00EB2313"/>
    <w:rsid w:val="00EB25C4"/>
    <w:rsid w:val="00EB2656"/>
    <w:rsid w:val="00EB26E5"/>
    <w:rsid w:val="00EB31A3"/>
    <w:rsid w:val="00EB3353"/>
    <w:rsid w:val="00EB3823"/>
    <w:rsid w:val="00EB4391"/>
    <w:rsid w:val="00EB4509"/>
    <w:rsid w:val="00EB5056"/>
    <w:rsid w:val="00EB51BB"/>
    <w:rsid w:val="00EB573D"/>
    <w:rsid w:val="00EB5F0E"/>
    <w:rsid w:val="00EB6001"/>
    <w:rsid w:val="00EB697D"/>
    <w:rsid w:val="00EB69B7"/>
    <w:rsid w:val="00EB6B3B"/>
    <w:rsid w:val="00EB702D"/>
    <w:rsid w:val="00EB72A0"/>
    <w:rsid w:val="00EB78F3"/>
    <w:rsid w:val="00EB7937"/>
    <w:rsid w:val="00EB7E9C"/>
    <w:rsid w:val="00EC026E"/>
    <w:rsid w:val="00EC04CB"/>
    <w:rsid w:val="00EC0879"/>
    <w:rsid w:val="00EC1758"/>
    <w:rsid w:val="00EC1CB8"/>
    <w:rsid w:val="00EC25A8"/>
    <w:rsid w:val="00EC278C"/>
    <w:rsid w:val="00EC39E9"/>
    <w:rsid w:val="00EC3DD3"/>
    <w:rsid w:val="00EC5A11"/>
    <w:rsid w:val="00EC5A1B"/>
    <w:rsid w:val="00EC66D2"/>
    <w:rsid w:val="00EC6A2D"/>
    <w:rsid w:val="00EC6D29"/>
    <w:rsid w:val="00EC6DCE"/>
    <w:rsid w:val="00EC6E32"/>
    <w:rsid w:val="00EC6F31"/>
    <w:rsid w:val="00EC758E"/>
    <w:rsid w:val="00EC7629"/>
    <w:rsid w:val="00EC79A5"/>
    <w:rsid w:val="00ED02E9"/>
    <w:rsid w:val="00ED0469"/>
    <w:rsid w:val="00ED0B05"/>
    <w:rsid w:val="00ED0B88"/>
    <w:rsid w:val="00ED0F61"/>
    <w:rsid w:val="00ED1235"/>
    <w:rsid w:val="00ED15C3"/>
    <w:rsid w:val="00ED1CCF"/>
    <w:rsid w:val="00ED2073"/>
    <w:rsid w:val="00ED234C"/>
    <w:rsid w:val="00ED24E1"/>
    <w:rsid w:val="00ED2A24"/>
    <w:rsid w:val="00ED3286"/>
    <w:rsid w:val="00ED36E5"/>
    <w:rsid w:val="00ED393C"/>
    <w:rsid w:val="00ED3B79"/>
    <w:rsid w:val="00ED4759"/>
    <w:rsid w:val="00ED479F"/>
    <w:rsid w:val="00ED4B2F"/>
    <w:rsid w:val="00ED4CC2"/>
    <w:rsid w:val="00ED4E4C"/>
    <w:rsid w:val="00ED546D"/>
    <w:rsid w:val="00ED5508"/>
    <w:rsid w:val="00ED57D9"/>
    <w:rsid w:val="00ED5936"/>
    <w:rsid w:val="00ED5DD5"/>
    <w:rsid w:val="00ED60E5"/>
    <w:rsid w:val="00ED6FD9"/>
    <w:rsid w:val="00ED704A"/>
    <w:rsid w:val="00ED72A1"/>
    <w:rsid w:val="00ED7677"/>
    <w:rsid w:val="00ED7932"/>
    <w:rsid w:val="00EE05A8"/>
    <w:rsid w:val="00EE06F3"/>
    <w:rsid w:val="00EE07E4"/>
    <w:rsid w:val="00EE0D63"/>
    <w:rsid w:val="00EE0D64"/>
    <w:rsid w:val="00EE1178"/>
    <w:rsid w:val="00EE1869"/>
    <w:rsid w:val="00EE1929"/>
    <w:rsid w:val="00EE19FB"/>
    <w:rsid w:val="00EE1B6B"/>
    <w:rsid w:val="00EE1FA0"/>
    <w:rsid w:val="00EE25F7"/>
    <w:rsid w:val="00EE2BC6"/>
    <w:rsid w:val="00EE399D"/>
    <w:rsid w:val="00EE4054"/>
    <w:rsid w:val="00EE4244"/>
    <w:rsid w:val="00EE4BA4"/>
    <w:rsid w:val="00EE54FE"/>
    <w:rsid w:val="00EE5A47"/>
    <w:rsid w:val="00EE5A67"/>
    <w:rsid w:val="00EE5F7C"/>
    <w:rsid w:val="00EE6761"/>
    <w:rsid w:val="00EE6A9A"/>
    <w:rsid w:val="00EE6C78"/>
    <w:rsid w:val="00EE6E9E"/>
    <w:rsid w:val="00EE6EEE"/>
    <w:rsid w:val="00EE74BF"/>
    <w:rsid w:val="00EE758F"/>
    <w:rsid w:val="00EE7872"/>
    <w:rsid w:val="00EF0191"/>
    <w:rsid w:val="00EF0567"/>
    <w:rsid w:val="00EF0855"/>
    <w:rsid w:val="00EF0AB4"/>
    <w:rsid w:val="00EF0FCE"/>
    <w:rsid w:val="00EF130E"/>
    <w:rsid w:val="00EF1838"/>
    <w:rsid w:val="00EF19B9"/>
    <w:rsid w:val="00EF20FA"/>
    <w:rsid w:val="00EF216B"/>
    <w:rsid w:val="00EF22BE"/>
    <w:rsid w:val="00EF2355"/>
    <w:rsid w:val="00EF2646"/>
    <w:rsid w:val="00EF2CE0"/>
    <w:rsid w:val="00EF2EE3"/>
    <w:rsid w:val="00EF37DC"/>
    <w:rsid w:val="00EF38EA"/>
    <w:rsid w:val="00EF3931"/>
    <w:rsid w:val="00EF3F19"/>
    <w:rsid w:val="00EF4820"/>
    <w:rsid w:val="00EF4B3E"/>
    <w:rsid w:val="00EF4E57"/>
    <w:rsid w:val="00EF504D"/>
    <w:rsid w:val="00EF50CC"/>
    <w:rsid w:val="00EF52D1"/>
    <w:rsid w:val="00EF5376"/>
    <w:rsid w:val="00EF5F4B"/>
    <w:rsid w:val="00EF63F2"/>
    <w:rsid w:val="00EF6881"/>
    <w:rsid w:val="00EF68DE"/>
    <w:rsid w:val="00F00285"/>
    <w:rsid w:val="00F00474"/>
    <w:rsid w:val="00F00478"/>
    <w:rsid w:val="00F004E0"/>
    <w:rsid w:val="00F00CEE"/>
    <w:rsid w:val="00F00DE6"/>
    <w:rsid w:val="00F00DEB"/>
    <w:rsid w:val="00F01157"/>
    <w:rsid w:val="00F0147E"/>
    <w:rsid w:val="00F01551"/>
    <w:rsid w:val="00F0176A"/>
    <w:rsid w:val="00F01AA7"/>
    <w:rsid w:val="00F01CEF"/>
    <w:rsid w:val="00F01E4C"/>
    <w:rsid w:val="00F01FB2"/>
    <w:rsid w:val="00F0204C"/>
    <w:rsid w:val="00F028CA"/>
    <w:rsid w:val="00F032D3"/>
    <w:rsid w:val="00F032FE"/>
    <w:rsid w:val="00F03821"/>
    <w:rsid w:val="00F03966"/>
    <w:rsid w:val="00F0411A"/>
    <w:rsid w:val="00F04204"/>
    <w:rsid w:val="00F042F1"/>
    <w:rsid w:val="00F0443A"/>
    <w:rsid w:val="00F04A1B"/>
    <w:rsid w:val="00F0603D"/>
    <w:rsid w:val="00F0614F"/>
    <w:rsid w:val="00F061B9"/>
    <w:rsid w:val="00F0660B"/>
    <w:rsid w:val="00F06CD9"/>
    <w:rsid w:val="00F072D0"/>
    <w:rsid w:val="00F074B4"/>
    <w:rsid w:val="00F07C28"/>
    <w:rsid w:val="00F10D14"/>
    <w:rsid w:val="00F10ED4"/>
    <w:rsid w:val="00F110A0"/>
    <w:rsid w:val="00F1112D"/>
    <w:rsid w:val="00F11394"/>
    <w:rsid w:val="00F1156E"/>
    <w:rsid w:val="00F115A5"/>
    <w:rsid w:val="00F11843"/>
    <w:rsid w:val="00F118B6"/>
    <w:rsid w:val="00F11AD8"/>
    <w:rsid w:val="00F11B0F"/>
    <w:rsid w:val="00F11C10"/>
    <w:rsid w:val="00F125F7"/>
    <w:rsid w:val="00F12691"/>
    <w:rsid w:val="00F12EAA"/>
    <w:rsid w:val="00F12EC1"/>
    <w:rsid w:val="00F1305B"/>
    <w:rsid w:val="00F13B0E"/>
    <w:rsid w:val="00F13FD2"/>
    <w:rsid w:val="00F14B88"/>
    <w:rsid w:val="00F14E31"/>
    <w:rsid w:val="00F14F8B"/>
    <w:rsid w:val="00F154B6"/>
    <w:rsid w:val="00F15718"/>
    <w:rsid w:val="00F169DB"/>
    <w:rsid w:val="00F16EF9"/>
    <w:rsid w:val="00F16FCB"/>
    <w:rsid w:val="00F201AD"/>
    <w:rsid w:val="00F201CC"/>
    <w:rsid w:val="00F20858"/>
    <w:rsid w:val="00F20992"/>
    <w:rsid w:val="00F20C47"/>
    <w:rsid w:val="00F20C52"/>
    <w:rsid w:val="00F21240"/>
    <w:rsid w:val="00F21698"/>
    <w:rsid w:val="00F216D4"/>
    <w:rsid w:val="00F220FE"/>
    <w:rsid w:val="00F2210B"/>
    <w:rsid w:val="00F22298"/>
    <w:rsid w:val="00F22634"/>
    <w:rsid w:val="00F2266C"/>
    <w:rsid w:val="00F226A3"/>
    <w:rsid w:val="00F22D76"/>
    <w:rsid w:val="00F23016"/>
    <w:rsid w:val="00F2306C"/>
    <w:rsid w:val="00F23077"/>
    <w:rsid w:val="00F23583"/>
    <w:rsid w:val="00F23CDC"/>
    <w:rsid w:val="00F23DB5"/>
    <w:rsid w:val="00F23E75"/>
    <w:rsid w:val="00F245DF"/>
    <w:rsid w:val="00F24625"/>
    <w:rsid w:val="00F246AB"/>
    <w:rsid w:val="00F24879"/>
    <w:rsid w:val="00F24BB6"/>
    <w:rsid w:val="00F259D1"/>
    <w:rsid w:val="00F25A1A"/>
    <w:rsid w:val="00F261DF"/>
    <w:rsid w:val="00F26B85"/>
    <w:rsid w:val="00F27639"/>
    <w:rsid w:val="00F27707"/>
    <w:rsid w:val="00F27E81"/>
    <w:rsid w:val="00F30585"/>
    <w:rsid w:val="00F3096A"/>
    <w:rsid w:val="00F30A27"/>
    <w:rsid w:val="00F30CDA"/>
    <w:rsid w:val="00F31198"/>
    <w:rsid w:val="00F31821"/>
    <w:rsid w:val="00F31D8D"/>
    <w:rsid w:val="00F320CB"/>
    <w:rsid w:val="00F32201"/>
    <w:rsid w:val="00F32DC3"/>
    <w:rsid w:val="00F33B3F"/>
    <w:rsid w:val="00F34257"/>
    <w:rsid w:val="00F34320"/>
    <w:rsid w:val="00F3465A"/>
    <w:rsid w:val="00F34864"/>
    <w:rsid w:val="00F34F47"/>
    <w:rsid w:val="00F3534C"/>
    <w:rsid w:val="00F354BF"/>
    <w:rsid w:val="00F36555"/>
    <w:rsid w:val="00F36D3F"/>
    <w:rsid w:val="00F36E60"/>
    <w:rsid w:val="00F36FD9"/>
    <w:rsid w:val="00F3724E"/>
    <w:rsid w:val="00F378BA"/>
    <w:rsid w:val="00F37B29"/>
    <w:rsid w:val="00F4086C"/>
    <w:rsid w:val="00F4086F"/>
    <w:rsid w:val="00F40BBA"/>
    <w:rsid w:val="00F40BE1"/>
    <w:rsid w:val="00F40CF2"/>
    <w:rsid w:val="00F41410"/>
    <w:rsid w:val="00F41AC0"/>
    <w:rsid w:val="00F41BB0"/>
    <w:rsid w:val="00F41CE9"/>
    <w:rsid w:val="00F4219B"/>
    <w:rsid w:val="00F42463"/>
    <w:rsid w:val="00F428C8"/>
    <w:rsid w:val="00F428DC"/>
    <w:rsid w:val="00F42C5E"/>
    <w:rsid w:val="00F42C99"/>
    <w:rsid w:val="00F43177"/>
    <w:rsid w:val="00F437AF"/>
    <w:rsid w:val="00F439AA"/>
    <w:rsid w:val="00F439E6"/>
    <w:rsid w:val="00F43C0E"/>
    <w:rsid w:val="00F43C2E"/>
    <w:rsid w:val="00F43FFE"/>
    <w:rsid w:val="00F450EE"/>
    <w:rsid w:val="00F454E7"/>
    <w:rsid w:val="00F455F2"/>
    <w:rsid w:val="00F45B07"/>
    <w:rsid w:val="00F45CD4"/>
    <w:rsid w:val="00F45DCC"/>
    <w:rsid w:val="00F4641A"/>
    <w:rsid w:val="00F46491"/>
    <w:rsid w:val="00F4693F"/>
    <w:rsid w:val="00F46C41"/>
    <w:rsid w:val="00F46E05"/>
    <w:rsid w:val="00F4729E"/>
    <w:rsid w:val="00F47C67"/>
    <w:rsid w:val="00F5069F"/>
    <w:rsid w:val="00F50701"/>
    <w:rsid w:val="00F509F1"/>
    <w:rsid w:val="00F50E8D"/>
    <w:rsid w:val="00F510E2"/>
    <w:rsid w:val="00F51219"/>
    <w:rsid w:val="00F5153D"/>
    <w:rsid w:val="00F517E3"/>
    <w:rsid w:val="00F51C31"/>
    <w:rsid w:val="00F522B2"/>
    <w:rsid w:val="00F52A09"/>
    <w:rsid w:val="00F544FA"/>
    <w:rsid w:val="00F5452D"/>
    <w:rsid w:val="00F54AE9"/>
    <w:rsid w:val="00F552A8"/>
    <w:rsid w:val="00F55573"/>
    <w:rsid w:val="00F56145"/>
    <w:rsid w:val="00F56411"/>
    <w:rsid w:val="00F56711"/>
    <w:rsid w:val="00F5680D"/>
    <w:rsid w:val="00F56846"/>
    <w:rsid w:val="00F568C8"/>
    <w:rsid w:val="00F569AA"/>
    <w:rsid w:val="00F56A29"/>
    <w:rsid w:val="00F56BF8"/>
    <w:rsid w:val="00F56CC2"/>
    <w:rsid w:val="00F57B09"/>
    <w:rsid w:val="00F6013E"/>
    <w:rsid w:val="00F6016A"/>
    <w:rsid w:val="00F6085E"/>
    <w:rsid w:val="00F608DA"/>
    <w:rsid w:val="00F6094A"/>
    <w:rsid w:val="00F60CBF"/>
    <w:rsid w:val="00F61150"/>
    <w:rsid w:val="00F61D50"/>
    <w:rsid w:val="00F61F8F"/>
    <w:rsid w:val="00F620B5"/>
    <w:rsid w:val="00F62126"/>
    <w:rsid w:val="00F62439"/>
    <w:rsid w:val="00F629BF"/>
    <w:rsid w:val="00F62CD4"/>
    <w:rsid w:val="00F63172"/>
    <w:rsid w:val="00F63222"/>
    <w:rsid w:val="00F635B9"/>
    <w:rsid w:val="00F635D7"/>
    <w:rsid w:val="00F63A24"/>
    <w:rsid w:val="00F63E0A"/>
    <w:rsid w:val="00F64DB6"/>
    <w:rsid w:val="00F64E82"/>
    <w:rsid w:val="00F64FCB"/>
    <w:rsid w:val="00F65328"/>
    <w:rsid w:val="00F65842"/>
    <w:rsid w:val="00F65B6A"/>
    <w:rsid w:val="00F65F0D"/>
    <w:rsid w:val="00F65FD9"/>
    <w:rsid w:val="00F65FE7"/>
    <w:rsid w:val="00F66169"/>
    <w:rsid w:val="00F661FA"/>
    <w:rsid w:val="00F66AEC"/>
    <w:rsid w:val="00F66E0E"/>
    <w:rsid w:val="00F67438"/>
    <w:rsid w:val="00F704D1"/>
    <w:rsid w:val="00F70920"/>
    <w:rsid w:val="00F7173E"/>
    <w:rsid w:val="00F71860"/>
    <w:rsid w:val="00F7189B"/>
    <w:rsid w:val="00F718F9"/>
    <w:rsid w:val="00F71DD0"/>
    <w:rsid w:val="00F728AA"/>
    <w:rsid w:val="00F72A32"/>
    <w:rsid w:val="00F72E90"/>
    <w:rsid w:val="00F731C0"/>
    <w:rsid w:val="00F73315"/>
    <w:rsid w:val="00F739BC"/>
    <w:rsid w:val="00F7427E"/>
    <w:rsid w:val="00F742F4"/>
    <w:rsid w:val="00F74CAB"/>
    <w:rsid w:val="00F7528C"/>
    <w:rsid w:val="00F753EC"/>
    <w:rsid w:val="00F757B0"/>
    <w:rsid w:val="00F75C96"/>
    <w:rsid w:val="00F7687D"/>
    <w:rsid w:val="00F76C0F"/>
    <w:rsid w:val="00F76D79"/>
    <w:rsid w:val="00F76FB6"/>
    <w:rsid w:val="00F77442"/>
    <w:rsid w:val="00F77598"/>
    <w:rsid w:val="00F77E58"/>
    <w:rsid w:val="00F80296"/>
    <w:rsid w:val="00F802DE"/>
    <w:rsid w:val="00F81054"/>
    <w:rsid w:val="00F8128B"/>
    <w:rsid w:val="00F812FA"/>
    <w:rsid w:val="00F81AFD"/>
    <w:rsid w:val="00F81C99"/>
    <w:rsid w:val="00F822C0"/>
    <w:rsid w:val="00F828E9"/>
    <w:rsid w:val="00F832E9"/>
    <w:rsid w:val="00F83994"/>
    <w:rsid w:val="00F8399F"/>
    <w:rsid w:val="00F83BCB"/>
    <w:rsid w:val="00F8402F"/>
    <w:rsid w:val="00F84756"/>
    <w:rsid w:val="00F84AF8"/>
    <w:rsid w:val="00F85000"/>
    <w:rsid w:val="00F85514"/>
    <w:rsid w:val="00F8583B"/>
    <w:rsid w:val="00F85F96"/>
    <w:rsid w:val="00F86299"/>
    <w:rsid w:val="00F863BD"/>
    <w:rsid w:val="00F86E44"/>
    <w:rsid w:val="00F86F0A"/>
    <w:rsid w:val="00F86F1D"/>
    <w:rsid w:val="00F87154"/>
    <w:rsid w:val="00F8784A"/>
    <w:rsid w:val="00F87880"/>
    <w:rsid w:val="00F87950"/>
    <w:rsid w:val="00F87A4C"/>
    <w:rsid w:val="00F87D94"/>
    <w:rsid w:val="00F901E7"/>
    <w:rsid w:val="00F904B8"/>
    <w:rsid w:val="00F90A16"/>
    <w:rsid w:val="00F90F8B"/>
    <w:rsid w:val="00F91918"/>
    <w:rsid w:val="00F919BC"/>
    <w:rsid w:val="00F9210F"/>
    <w:rsid w:val="00F9396C"/>
    <w:rsid w:val="00F93CEC"/>
    <w:rsid w:val="00F94829"/>
    <w:rsid w:val="00F95607"/>
    <w:rsid w:val="00F9582A"/>
    <w:rsid w:val="00F959F5"/>
    <w:rsid w:val="00F95B17"/>
    <w:rsid w:val="00F960A9"/>
    <w:rsid w:val="00F96292"/>
    <w:rsid w:val="00F96536"/>
    <w:rsid w:val="00F965F5"/>
    <w:rsid w:val="00F96764"/>
    <w:rsid w:val="00F96A2F"/>
    <w:rsid w:val="00F96B7F"/>
    <w:rsid w:val="00F96D15"/>
    <w:rsid w:val="00F96E6D"/>
    <w:rsid w:val="00F96EC9"/>
    <w:rsid w:val="00F96FEF"/>
    <w:rsid w:val="00F972B0"/>
    <w:rsid w:val="00F97956"/>
    <w:rsid w:val="00F97B6B"/>
    <w:rsid w:val="00F97D35"/>
    <w:rsid w:val="00FA04A0"/>
    <w:rsid w:val="00FA0CBC"/>
    <w:rsid w:val="00FA1048"/>
    <w:rsid w:val="00FA1056"/>
    <w:rsid w:val="00FA12A9"/>
    <w:rsid w:val="00FA16C3"/>
    <w:rsid w:val="00FA16EC"/>
    <w:rsid w:val="00FA194B"/>
    <w:rsid w:val="00FA1A21"/>
    <w:rsid w:val="00FA1D77"/>
    <w:rsid w:val="00FA232D"/>
    <w:rsid w:val="00FA2728"/>
    <w:rsid w:val="00FA2787"/>
    <w:rsid w:val="00FA2C3A"/>
    <w:rsid w:val="00FA2D9C"/>
    <w:rsid w:val="00FA2F0B"/>
    <w:rsid w:val="00FA2F97"/>
    <w:rsid w:val="00FA3083"/>
    <w:rsid w:val="00FA369A"/>
    <w:rsid w:val="00FA389C"/>
    <w:rsid w:val="00FA3ACF"/>
    <w:rsid w:val="00FA3B66"/>
    <w:rsid w:val="00FA3C00"/>
    <w:rsid w:val="00FA3E82"/>
    <w:rsid w:val="00FA46C0"/>
    <w:rsid w:val="00FA473D"/>
    <w:rsid w:val="00FA497A"/>
    <w:rsid w:val="00FA4D24"/>
    <w:rsid w:val="00FA4D7B"/>
    <w:rsid w:val="00FA5205"/>
    <w:rsid w:val="00FA57E6"/>
    <w:rsid w:val="00FA58B1"/>
    <w:rsid w:val="00FA5F25"/>
    <w:rsid w:val="00FA607D"/>
    <w:rsid w:val="00FA618E"/>
    <w:rsid w:val="00FA7780"/>
    <w:rsid w:val="00FA7A33"/>
    <w:rsid w:val="00FA7D52"/>
    <w:rsid w:val="00FB0B0B"/>
    <w:rsid w:val="00FB0BB2"/>
    <w:rsid w:val="00FB1818"/>
    <w:rsid w:val="00FB1864"/>
    <w:rsid w:val="00FB1928"/>
    <w:rsid w:val="00FB1F09"/>
    <w:rsid w:val="00FB1F8B"/>
    <w:rsid w:val="00FB22F0"/>
    <w:rsid w:val="00FB2A75"/>
    <w:rsid w:val="00FB2E66"/>
    <w:rsid w:val="00FB2EB5"/>
    <w:rsid w:val="00FB2FBD"/>
    <w:rsid w:val="00FB339D"/>
    <w:rsid w:val="00FB41C2"/>
    <w:rsid w:val="00FB4601"/>
    <w:rsid w:val="00FB48AD"/>
    <w:rsid w:val="00FB4D38"/>
    <w:rsid w:val="00FB501A"/>
    <w:rsid w:val="00FB52B9"/>
    <w:rsid w:val="00FB5F52"/>
    <w:rsid w:val="00FB6755"/>
    <w:rsid w:val="00FB67FE"/>
    <w:rsid w:val="00FB688E"/>
    <w:rsid w:val="00FB6B9E"/>
    <w:rsid w:val="00FB6DF2"/>
    <w:rsid w:val="00FB7039"/>
    <w:rsid w:val="00FB7F00"/>
    <w:rsid w:val="00FB7FBA"/>
    <w:rsid w:val="00FC02D5"/>
    <w:rsid w:val="00FC0404"/>
    <w:rsid w:val="00FC166B"/>
    <w:rsid w:val="00FC197C"/>
    <w:rsid w:val="00FC217A"/>
    <w:rsid w:val="00FC2411"/>
    <w:rsid w:val="00FC27BB"/>
    <w:rsid w:val="00FC2EE4"/>
    <w:rsid w:val="00FC31B3"/>
    <w:rsid w:val="00FC347C"/>
    <w:rsid w:val="00FC3485"/>
    <w:rsid w:val="00FC3CCC"/>
    <w:rsid w:val="00FC4514"/>
    <w:rsid w:val="00FC4982"/>
    <w:rsid w:val="00FC4D6F"/>
    <w:rsid w:val="00FC5AC5"/>
    <w:rsid w:val="00FC5BFB"/>
    <w:rsid w:val="00FC5CFC"/>
    <w:rsid w:val="00FC5D96"/>
    <w:rsid w:val="00FC5EF9"/>
    <w:rsid w:val="00FC5F65"/>
    <w:rsid w:val="00FC63B6"/>
    <w:rsid w:val="00FC69D8"/>
    <w:rsid w:val="00FC6C76"/>
    <w:rsid w:val="00FC7246"/>
    <w:rsid w:val="00FC747C"/>
    <w:rsid w:val="00FD07E6"/>
    <w:rsid w:val="00FD1086"/>
    <w:rsid w:val="00FD14E3"/>
    <w:rsid w:val="00FD1C58"/>
    <w:rsid w:val="00FD1D39"/>
    <w:rsid w:val="00FD2AD4"/>
    <w:rsid w:val="00FD2CFE"/>
    <w:rsid w:val="00FD2EAD"/>
    <w:rsid w:val="00FD3573"/>
    <w:rsid w:val="00FD3B3C"/>
    <w:rsid w:val="00FD3B6A"/>
    <w:rsid w:val="00FD3EE8"/>
    <w:rsid w:val="00FD472C"/>
    <w:rsid w:val="00FD4E0D"/>
    <w:rsid w:val="00FD4E5D"/>
    <w:rsid w:val="00FD4EE4"/>
    <w:rsid w:val="00FD5A57"/>
    <w:rsid w:val="00FD5DB3"/>
    <w:rsid w:val="00FD6C68"/>
    <w:rsid w:val="00FD6CF2"/>
    <w:rsid w:val="00FD6DC6"/>
    <w:rsid w:val="00FD7310"/>
    <w:rsid w:val="00FD73EA"/>
    <w:rsid w:val="00FD7748"/>
    <w:rsid w:val="00FD792F"/>
    <w:rsid w:val="00FD7C80"/>
    <w:rsid w:val="00FE0468"/>
    <w:rsid w:val="00FE06B8"/>
    <w:rsid w:val="00FE0916"/>
    <w:rsid w:val="00FE0C71"/>
    <w:rsid w:val="00FE121C"/>
    <w:rsid w:val="00FE15AD"/>
    <w:rsid w:val="00FE184C"/>
    <w:rsid w:val="00FE1CA6"/>
    <w:rsid w:val="00FE1E28"/>
    <w:rsid w:val="00FE2126"/>
    <w:rsid w:val="00FE2804"/>
    <w:rsid w:val="00FE2A20"/>
    <w:rsid w:val="00FE2AAB"/>
    <w:rsid w:val="00FE2B02"/>
    <w:rsid w:val="00FE304B"/>
    <w:rsid w:val="00FE30EC"/>
    <w:rsid w:val="00FE361A"/>
    <w:rsid w:val="00FE36F1"/>
    <w:rsid w:val="00FE399E"/>
    <w:rsid w:val="00FE3F07"/>
    <w:rsid w:val="00FE40F3"/>
    <w:rsid w:val="00FE459E"/>
    <w:rsid w:val="00FE45DF"/>
    <w:rsid w:val="00FE4708"/>
    <w:rsid w:val="00FE488E"/>
    <w:rsid w:val="00FE519D"/>
    <w:rsid w:val="00FE525A"/>
    <w:rsid w:val="00FE533D"/>
    <w:rsid w:val="00FE58D4"/>
    <w:rsid w:val="00FE5936"/>
    <w:rsid w:val="00FE5BC0"/>
    <w:rsid w:val="00FE6B2A"/>
    <w:rsid w:val="00FE6D91"/>
    <w:rsid w:val="00FE7208"/>
    <w:rsid w:val="00FE761A"/>
    <w:rsid w:val="00FE7B80"/>
    <w:rsid w:val="00FF0408"/>
    <w:rsid w:val="00FF09E5"/>
    <w:rsid w:val="00FF0D64"/>
    <w:rsid w:val="00FF0FDB"/>
    <w:rsid w:val="00FF17AD"/>
    <w:rsid w:val="00FF1A0E"/>
    <w:rsid w:val="00FF20E5"/>
    <w:rsid w:val="00FF2A19"/>
    <w:rsid w:val="00FF34CA"/>
    <w:rsid w:val="00FF3AB7"/>
    <w:rsid w:val="00FF479C"/>
    <w:rsid w:val="00FF492B"/>
    <w:rsid w:val="00FF4A00"/>
    <w:rsid w:val="00FF4B45"/>
    <w:rsid w:val="00FF4BBE"/>
    <w:rsid w:val="00FF4C89"/>
    <w:rsid w:val="00FF557C"/>
    <w:rsid w:val="00FF690B"/>
    <w:rsid w:val="00FF6BB5"/>
    <w:rsid w:val="00FF6EE9"/>
    <w:rsid w:val="00FF7305"/>
    <w:rsid w:val="00FF76A6"/>
    <w:rsid w:val="0180704F"/>
    <w:rsid w:val="03D90871"/>
    <w:rsid w:val="073F7BAF"/>
    <w:rsid w:val="07B1AA84"/>
    <w:rsid w:val="0831476C"/>
    <w:rsid w:val="089EDB43"/>
    <w:rsid w:val="096B2833"/>
    <w:rsid w:val="09817B65"/>
    <w:rsid w:val="09F52C43"/>
    <w:rsid w:val="0A304D10"/>
    <w:rsid w:val="0A3293F1"/>
    <w:rsid w:val="0AB38F20"/>
    <w:rsid w:val="0B1D88B3"/>
    <w:rsid w:val="0C753B5C"/>
    <w:rsid w:val="0D71CB01"/>
    <w:rsid w:val="0F7436AD"/>
    <w:rsid w:val="1001D171"/>
    <w:rsid w:val="12B409F4"/>
    <w:rsid w:val="12CD4EFD"/>
    <w:rsid w:val="13229102"/>
    <w:rsid w:val="134A6F13"/>
    <w:rsid w:val="15D88EDF"/>
    <w:rsid w:val="167965CC"/>
    <w:rsid w:val="173AE7E0"/>
    <w:rsid w:val="19D126A5"/>
    <w:rsid w:val="1B636616"/>
    <w:rsid w:val="1B828585"/>
    <w:rsid w:val="1BF5859A"/>
    <w:rsid w:val="1C74B3F9"/>
    <w:rsid w:val="1CD8D80A"/>
    <w:rsid w:val="1D4F0587"/>
    <w:rsid w:val="1DEB44A2"/>
    <w:rsid w:val="1F175D0A"/>
    <w:rsid w:val="1F78EA73"/>
    <w:rsid w:val="20360C96"/>
    <w:rsid w:val="20482A70"/>
    <w:rsid w:val="20720918"/>
    <w:rsid w:val="21A905F7"/>
    <w:rsid w:val="227BA84D"/>
    <w:rsid w:val="231762F0"/>
    <w:rsid w:val="233530BA"/>
    <w:rsid w:val="237DAFCE"/>
    <w:rsid w:val="250663FD"/>
    <w:rsid w:val="250DF52D"/>
    <w:rsid w:val="2613CD98"/>
    <w:rsid w:val="2644E9AC"/>
    <w:rsid w:val="2895DBFE"/>
    <w:rsid w:val="2A918C6D"/>
    <w:rsid w:val="2B695440"/>
    <w:rsid w:val="2BFCA7DE"/>
    <w:rsid w:val="2C4AA91A"/>
    <w:rsid w:val="2D94B99D"/>
    <w:rsid w:val="2E5E4114"/>
    <w:rsid w:val="302EC5DD"/>
    <w:rsid w:val="3126173E"/>
    <w:rsid w:val="31CC66F9"/>
    <w:rsid w:val="321A51DE"/>
    <w:rsid w:val="32D4D5EC"/>
    <w:rsid w:val="33FEE10C"/>
    <w:rsid w:val="34F7D4E9"/>
    <w:rsid w:val="35B5E46D"/>
    <w:rsid w:val="37C74A79"/>
    <w:rsid w:val="38D82D9F"/>
    <w:rsid w:val="3995990B"/>
    <w:rsid w:val="3B2B6F0C"/>
    <w:rsid w:val="3B8FD37D"/>
    <w:rsid w:val="3F29BB5A"/>
    <w:rsid w:val="3FEA770E"/>
    <w:rsid w:val="40AB6E06"/>
    <w:rsid w:val="40B5DA11"/>
    <w:rsid w:val="41BD2941"/>
    <w:rsid w:val="42F84DAE"/>
    <w:rsid w:val="42FE77CD"/>
    <w:rsid w:val="435E472B"/>
    <w:rsid w:val="439EAB92"/>
    <w:rsid w:val="4438648A"/>
    <w:rsid w:val="47F0DA7A"/>
    <w:rsid w:val="48108F24"/>
    <w:rsid w:val="4B41104D"/>
    <w:rsid w:val="4BD5152B"/>
    <w:rsid w:val="4C3C0016"/>
    <w:rsid w:val="4ECDA7AB"/>
    <w:rsid w:val="4F7FE281"/>
    <w:rsid w:val="506E69ED"/>
    <w:rsid w:val="518AAE08"/>
    <w:rsid w:val="52232AF9"/>
    <w:rsid w:val="528C26AF"/>
    <w:rsid w:val="54241DD8"/>
    <w:rsid w:val="54AEF9BB"/>
    <w:rsid w:val="54FA32DF"/>
    <w:rsid w:val="558F586F"/>
    <w:rsid w:val="55993251"/>
    <w:rsid w:val="55BF302A"/>
    <w:rsid w:val="57157810"/>
    <w:rsid w:val="58639109"/>
    <w:rsid w:val="58E0562A"/>
    <w:rsid w:val="592F2819"/>
    <w:rsid w:val="5BBA0F6C"/>
    <w:rsid w:val="5BFCD1D9"/>
    <w:rsid w:val="5D8A87F2"/>
    <w:rsid w:val="5DA125A9"/>
    <w:rsid w:val="5DF90123"/>
    <w:rsid w:val="5E13D395"/>
    <w:rsid w:val="5F0EDE9F"/>
    <w:rsid w:val="5F822254"/>
    <w:rsid w:val="5F9883CB"/>
    <w:rsid w:val="5FACA59A"/>
    <w:rsid w:val="5FC3D9EE"/>
    <w:rsid w:val="600DDA3B"/>
    <w:rsid w:val="604125A1"/>
    <w:rsid w:val="608A89E0"/>
    <w:rsid w:val="60E1184F"/>
    <w:rsid w:val="61716AE0"/>
    <w:rsid w:val="61C23030"/>
    <w:rsid w:val="62D28B69"/>
    <w:rsid w:val="647EBEC5"/>
    <w:rsid w:val="652521F0"/>
    <w:rsid w:val="658DB2CB"/>
    <w:rsid w:val="663F4347"/>
    <w:rsid w:val="686702CC"/>
    <w:rsid w:val="6873CBD5"/>
    <w:rsid w:val="69C24797"/>
    <w:rsid w:val="6A78DD99"/>
    <w:rsid w:val="6A9A6DD3"/>
    <w:rsid w:val="6B9605B5"/>
    <w:rsid w:val="6BCFAB52"/>
    <w:rsid w:val="6CCF15DF"/>
    <w:rsid w:val="6D884B1C"/>
    <w:rsid w:val="6E2E2655"/>
    <w:rsid w:val="6E378A50"/>
    <w:rsid w:val="6E88A880"/>
    <w:rsid w:val="6EFA1553"/>
    <w:rsid w:val="719CA948"/>
    <w:rsid w:val="733505FD"/>
    <w:rsid w:val="74651570"/>
    <w:rsid w:val="75198060"/>
    <w:rsid w:val="75F4CBC3"/>
    <w:rsid w:val="7779FFFA"/>
    <w:rsid w:val="77945519"/>
    <w:rsid w:val="785167A0"/>
    <w:rsid w:val="790CEE45"/>
    <w:rsid w:val="792493F4"/>
    <w:rsid w:val="799B1D51"/>
    <w:rsid w:val="799FFCEE"/>
    <w:rsid w:val="79A4333F"/>
    <w:rsid w:val="7AA2A823"/>
    <w:rsid w:val="7B15C67F"/>
    <w:rsid w:val="7C4F3049"/>
    <w:rsid w:val="7D911A1D"/>
    <w:rsid w:val="7F4CD32E"/>
    <w:rsid w:val="7FF2154F"/>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C4C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Times New Roman"/>
        <w:lang w:val="en-GB"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qFormat="1"/>
    <w:lsdException w:name="heading 4" w:uiPriority="9"/>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Bold)"/>
    <w:qFormat/>
    <w:rsid w:val="00AD3AFA"/>
    <w:pPr>
      <w:spacing w:after="180"/>
    </w:pPr>
    <w:rPr>
      <w:rFonts w:ascii="Helvetica Neue LT Std 65 Medium" w:hAnsi="Helvetica Neue LT Std 65 Medium"/>
      <w:color w:val="40403E"/>
      <w:sz w:val="22"/>
    </w:rPr>
  </w:style>
  <w:style w:type="paragraph" w:styleId="Heading1">
    <w:name w:val="heading 1"/>
    <w:aliases w:val="Page Heading"/>
    <w:basedOn w:val="Normal"/>
    <w:next w:val="Normal"/>
    <w:link w:val="Heading1Char"/>
    <w:uiPriority w:val="9"/>
    <w:qFormat/>
    <w:rsid w:val="007F232D"/>
    <w:pPr>
      <w:keepNext/>
      <w:keepLines/>
      <w:pageBreakBefore/>
      <w:tabs>
        <w:tab w:val="left" w:pos="680"/>
      </w:tabs>
      <w:spacing w:after="0" w:line="340" w:lineRule="atLeast"/>
      <w:outlineLvl w:val="0"/>
    </w:pPr>
    <w:rPr>
      <w:rFonts w:ascii="HelveticaNeueLT Std Med" w:eastAsiaTheme="majorEastAsia" w:hAnsi="HelveticaNeueLT Std Med" w:cstheme="majorBidi"/>
      <w:color w:val="404040" w:themeColor="text1" w:themeTint="BF"/>
      <w:sz w:val="44"/>
      <w:szCs w:val="28"/>
    </w:rPr>
  </w:style>
  <w:style w:type="paragraph" w:styleId="Heading2">
    <w:name w:val="heading 2"/>
    <w:basedOn w:val="Normal"/>
    <w:next w:val="Normal"/>
    <w:link w:val="Heading2Char"/>
    <w:uiPriority w:val="9"/>
    <w:qFormat/>
    <w:rsid w:val="00CC7868"/>
    <w:pPr>
      <w:keepNext/>
      <w:keepLines/>
      <w:numPr>
        <w:ilvl w:val="1"/>
        <w:numId w:val="4"/>
      </w:numPr>
      <w:tabs>
        <w:tab w:val="left" w:pos="680"/>
      </w:tabs>
      <w:spacing w:after="120" w:line="340" w:lineRule="atLeast"/>
      <w:ind w:left="0"/>
      <w:outlineLvl w:val="1"/>
    </w:pPr>
    <w:rPr>
      <w:rFonts w:eastAsiaTheme="majorEastAsia" w:cstheme="majorBidi"/>
      <w:b/>
      <w:bCs/>
      <w:color w:val="7F7F7F" w:themeColor="text1" w:themeTint="80"/>
      <w:sz w:val="28"/>
      <w:szCs w:val="26"/>
    </w:rPr>
  </w:style>
  <w:style w:type="paragraph" w:styleId="Heading3">
    <w:name w:val="heading 3"/>
    <w:basedOn w:val="Normal"/>
    <w:next w:val="Normal"/>
    <w:link w:val="Heading3Char"/>
    <w:uiPriority w:val="9"/>
    <w:qFormat/>
    <w:rsid w:val="00171DB7"/>
    <w:pPr>
      <w:keepNext/>
      <w:keepLines/>
      <w:spacing w:line="340" w:lineRule="atLeast"/>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rsid w:val="00171DB7"/>
    <w:pPr>
      <w:keepNext/>
      <w:keepLines/>
      <w:spacing w:line="320" w:lineRule="atLeast"/>
      <w:outlineLvl w:val="3"/>
    </w:pPr>
    <w:rPr>
      <w:rFonts w:asciiTheme="majorHAnsi" w:eastAsiaTheme="majorEastAsia" w:hAnsiTheme="majorHAnsi" w:cstheme="majorBidi"/>
      <w:bCs/>
      <w:iCs/>
      <w:color w:val="7F7F7F" w:themeColor="text1" w:themeTint="8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Page Heading Char"/>
    <w:basedOn w:val="DefaultParagraphFont"/>
    <w:link w:val="Heading1"/>
    <w:uiPriority w:val="9"/>
    <w:rsid w:val="007F232D"/>
    <w:rPr>
      <w:rFonts w:ascii="HelveticaNeueLT Std Med" w:eastAsiaTheme="majorEastAsia" w:hAnsi="HelveticaNeueLT Std Med" w:cstheme="majorBidi"/>
      <w:color w:val="404040" w:themeColor="text1" w:themeTint="BF"/>
      <w:sz w:val="44"/>
      <w:szCs w:val="28"/>
    </w:rPr>
  </w:style>
  <w:style w:type="character" w:customStyle="1" w:styleId="Heading2Char">
    <w:name w:val="Heading 2 Char"/>
    <w:basedOn w:val="DefaultParagraphFont"/>
    <w:link w:val="Heading2"/>
    <w:uiPriority w:val="9"/>
    <w:rsid w:val="00CC7868"/>
    <w:rPr>
      <w:rFonts w:ascii="Helvetica Neue LT Std 65 Medium" w:eastAsiaTheme="majorEastAsia" w:hAnsi="Helvetica Neue LT Std 65 Medium" w:cstheme="majorBidi"/>
      <w:b/>
      <w:bCs/>
      <w:color w:val="7F7F7F" w:themeColor="text1" w:themeTint="80"/>
      <w:sz w:val="28"/>
      <w:szCs w:val="26"/>
    </w:rPr>
  </w:style>
  <w:style w:type="paragraph" w:styleId="Header">
    <w:name w:val="header"/>
    <w:basedOn w:val="Normal"/>
    <w:link w:val="HeaderChar"/>
    <w:uiPriority w:val="99"/>
    <w:unhideWhenUsed/>
    <w:rsid w:val="00CE3E75"/>
    <w:pPr>
      <w:tabs>
        <w:tab w:val="right" w:pos="10093"/>
      </w:tabs>
      <w:spacing w:line="290" w:lineRule="atLeast"/>
    </w:pPr>
    <w:rPr>
      <w:color w:val="7F7F7F" w:themeColor="text1" w:themeTint="80"/>
      <w:sz w:val="24"/>
    </w:rPr>
  </w:style>
  <w:style w:type="character" w:customStyle="1" w:styleId="HeaderChar">
    <w:name w:val="Header Char"/>
    <w:basedOn w:val="DefaultParagraphFont"/>
    <w:link w:val="Header"/>
    <w:uiPriority w:val="99"/>
    <w:rsid w:val="00CE3E75"/>
    <w:rPr>
      <w:rFonts w:asciiTheme="minorHAnsi" w:hAnsiTheme="minorHAnsi"/>
      <w:color w:val="7F7F7F" w:themeColor="text1" w:themeTint="80"/>
      <w:sz w:val="24"/>
    </w:rPr>
  </w:style>
  <w:style w:type="paragraph" w:styleId="Footer">
    <w:name w:val="footer"/>
    <w:basedOn w:val="Normal"/>
    <w:link w:val="FooterChar"/>
    <w:uiPriority w:val="99"/>
    <w:unhideWhenUsed/>
    <w:rsid w:val="0008458B"/>
    <w:pPr>
      <w:tabs>
        <w:tab w:val="center" w:pos="4536"/>
        <w:tab w:val="right" w:pos="9072"/>
      </w:tabs>
    </w:pPr>
    <w:rPr>
      <w:color w:val="FFFFFF" w:themeColor="background1"/>
      <w:sz w:val="14"/>
    </w:rPr>
  </w:style>
  <w:style w:type="character" w:customStyle="1" w:styleId="FooterChar">
    <w:name w:val="Footer Char"/>
    <w:basedOn w:val="DefaultParagraphFont"/>
    <w:link w:val="Footer"/>
    <w:uiPriority w:val="99"/>
    <w:rsid w:val="0008458B"/>
    <w:rPr>
      <w:rFonts w:asciiTheme="minorHAnsi" w:hAnsiTheme="minorHAnsi"/>
      <w:color w:val="FFFFFF" w:themeColor="background1"/>
      <w:sz w:val="14"/>
    </w:rPr>
  </w:style>
  <w:style w:type="paragraph" w:styleId="ListNumber">
    <w:name w:val="List Number"/>
    <w:basedOn w:val="Normal"/>
    <w:rsid w:val="00424F1F"/>
    <w:pPr>
      <w:numPr>
        <w:numId w:val="1"/>
      </w:numPr>
      <w:tabs>
        <w:tab w:val="left" w:pos="357"/>
      </w:tabs>
      <w:spacing w:line="240" w:lineRule="atLeast"/>
      <w:ind w:left="357" w:hanging="357"/>
    </w:pPr>
    <w:rPr>
      <w:rFonts w:eastAsia="Times New Roman"/>
      <w:color w:val="000000" w:themeColor="text1"/>
      <w:szCs w:val="24"/>
      <w:lang w:eastAsia="en-GB"/>
    </w:rPr>
  </w:style>
  <w:style w:type="paragraph" w:styleId="ListNumber2">
    <w:name w:val="List Number 2"/>
    <w:basedOn w:val="ListNumber"/>
    <w:uiPriority w:val="99"/>
    <w:rsid w:val="00622975"/>
    <w:pPr>
      <w:numPr>
        <w:numId w:val="6"/>
      </w:numPr>
      <w:tabs>
        <w:tab w:val="clear" w:pos="357"/>
        <w:tab w:val="left" w:pos="714"/>
      </w:tabs>
      <w:ind w:left="714" w:hanging="357"/>
    </w:pPr>
  </w:style>
  <w:style w:type="paragraph" w:styleId="BalloonText">
    <w:name w:val="Balloon Text"/>
    <w:basedOn w:val="Normal"/>
    <w:link w:val="BalloonTextChar"/>
    <w:uiPriority w:val="99"/>
    <w:semiHidden/>
    <w:rsid w:val="007E4A50"/>
    <w:rPr>
      <w:rFonts w:ascii="Tahoma" w:hAnsi="Tahoma" w:cs="Tahoma"/>
      <w:sz w:val="16"/>
      <w:szCs w:val="16"/>
    </w:rPr>
  </w:style>
  <w:style w:type="character" w:customStyle="1" w:styleId="BalloonTextChar">
    <w:name w:val="Balloon Text Char"/>
    <w:basedOn w:val="DefaultParagraphFont"/>
    <w:link w:val="BalloonText"/>
    <w:uiPriority w:val="99"/>
    <w:semiHidden/>
    <w:rsid w:val="007E4A50"/>
    <w:rPr>
      <w:rFonts w:ascii="Tahoma" w:hAnsi="Tahoma" w:cs="Tahoma"/>
      <w:color w:val="EEECE1" w:themeColor="background2"/>
      <w:sz w:val="16"/>
      <w:szCs w:val="16"/>
    </w:rPr>
  </w:style>
  <w:style w:type="table" w:styleId="TableGrid">
    <w:name w:val="Table Grid"/>
    <w:basedOn w:val="TableNormal"/>
    <w:uiPriority w:val="59"/>
    <w:rsid w:val="0022147F"/>
    <w:tblPr>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Pr>
    <w:tcPr>
      <w:shd w:val="clear" w:color="auto" w:fill="auto"/>
    </w:tcPr>
  </w:style>
  <w:style w:type="character" w:styleId="PlaceholderText">
    <w:name w:val="Placeholder Text"/>
    <w:basedOn w:val="DefaultParagraphFont"/>
    <w:uiPriority w:val="99"/>
    <w:semiHidden/>
    <w:rsid w:val="007E4A50"/>
    <w:rPr>
      <w:color w:val="808080"/>
    </w:rPr>
  </w:style>
  <w:style w:type="paragraph" w:styleId="ListParagraph">
    <w:name w:val="List Paragraph"/>
    <w:basedOn w:val="Normal"/>
    <w:link w:val="ListParagraphChar"/>
    <w:uiPriority w:val="34"/>
    <w:qFormat/>
    <w:rsid w:val="007E4A50"/>
    <w:pPr>
      <w:ind w:left="720"/>
      <w:contextualSpacing/>
    </w:pPr>
  </w:style>
  <w:style w:type="paragraph" w:styleId="ListBullet">
    <w:name w:val="List Bullet"/>
    <w:basedOn w:val="Normal"/>
    <w:uiPriority w:val="99"/>
    <w:qFormat/>
    <w:rsid w:val="00DD21CA"/>
    <w:pPr>
      <w:tabs>
        <w:tab w:val="left" w:pos="357"/>
      </w:tabs>
    </w:pPr>
    <w:rPr>
      <w:rFonts w:ascii="HelveticaNeueLT Std Lt" w:hAnsi="HelveticaNeueLT Std Lt"/>
      <w:color w:val="404040" w:themeColor="text1" w:themeTint="BF"/>
      <w:szCs w:val="22"/>
    </w:rPr>
  </w:style>
  <w:style w:type="paragraph" w:customStyle="1" w:styleId="Documenttitle">
    <w:name w:val="Document title"/>
    <w:next w:val="Documentsubtitle"/>
    <w:autoRedefine/>
    <w:qFormat/>
    <w:rsid w:val="007A3EF7"/>
    <w:pPr>
      <w:tabs>
        <w:tab w:val="left" w:pos="5835"/>
      </w:tabs>
      <w:spacing w:after="60"/>
      <w:ind w:right="4206"/>
    </w:pPr>
    <w:rPr>
      <w:rFonts w:ascii="Helvetica Neue LT Std 65 Medium" w:hAnsi="Helvetica Neue LT Std 65 Medium"/>
      <w:color w:val="242625"/>
      <w:sz w:val="60"/>
    </w:rPr>
  </w:style>
  <w:style w:type="paragraph" w:customStyle="1" w:styleId="Documentsubtitle">
    <w:name w:val="Document subtitle"/>
    <w:next w:val="BodyRegular"/>
    <w:qFormat/>
    <w:rsid w:val="00A8109D"/>
    <w:pPr>
      <w:spacing w:after="120" w:line="480" w:lineRule="atLeast"/>
    </w:pPr>
    <w:rPr>
      <w:rFonts w:ascii="Helvetica Neue LT Std 65 Medium" w:hAnsi="Helvetica Neue LT Std 65 Medium"/>
      <w:color w:val="40403E"/>
      <w:sz w:val="36"/>
    </w:rPr>
  </w:style>
  <w:style w:type="paragraph" w:customStyle="1" w:styleId="BodyRegular">
    <w:name w:val="Body (Regular)"/>
    <w:basedOn w:val="ListBullet"/>
    <w:next w:val="Normal"/>
    <w:qFormat/>
    <w:rsid w:val="007F232D"/>
    <w:rPr>
      <w:rFonts w:ascii="Helvetica Neue" w:hAnsi="Helvetica Neue"/>
    </w:rPr>
  </w:style>
  <w:style w:type="paragraph" w:customStyle="1" w:styleId="Disclaimer">
    <w:name w:val="Disclaimer"/>
    <w:basedOn w:val="Normal"/>
    <w:qFormat/>
    <w:rsid w:val="007F232D"/>
    <w:pPr>
      <w:spacing w:after="80" w:line="276" w:lineRule="auto"/>
    </w:pPr>
    <w:rPr>
      <w:rFonts w:ascii="HelveticaNeueLT Std" w:hAnsi="HelveticaNeueLT Std"/>
      <w:color w:val="A6A6A6" w:themeColor="background1" w:themeShade="A6"/>
      <w:sz w:val="16"/>
      <w:szCs w:val="16"/>
    </w:rPr>
  </w:style>
  <w:style w:type="paragraph" w:customStyle="1" w:styleId="Sectiontitle">
    <w:name w:val="Section title"/>
    <w:basedOn w:val="Normal"/>
    <w:next w:val="Normal"/>
    <w:rsid w:val="00AC32B6"/>
    <w:pPr>
      <w:pageBreakBefore/>
      <w:spacing w:after="360" w:line="530" w:lineRule="atLeast"/>
    </w:pPr>
    <w:rPr>
      <w:b/>
      <w:color w:val="008C9B" w:themeColor="text2"/>
      <w:sz w:val="44"/>
    </w:rPr>
  </w:style>
  <w:style w:type="paragraph" w:customStyle="1" w:styleId="Subsectiontitle">
    <w:name w:val="Subsection title"/>
    <w:basedOn w:val="Normal"/>
    <w:next w:val="Normal"/>
    <w:qFormat/>
    <w:rsid w:val="00DD21CA"/>
    <w:pPr>
      <w:spacing w:after="120" w:line="276" w:lineRule="auto"/>
    </w:pPr>
    <w:rPr>
      <w:rFonts w:ascii="HelveticaNeueLT Std Med" w:hAnsi="HelveticaNeueLT Std Med"/>
      <w:b/>
      <w:bCs/>
      <w:color w:val="404040" w:themeColor="text1" w:themeTint="BF"/>
      <w:szCs w:val="22"/>
    </w:rPr>
  </w:style>
  <w:style w:type="numbering" w:customStyle="1" w:styleId="Cebrlist">
    <w:name w:val="Cebr list"/>
    <w:uiPriority w:val="99"/>
    <w:rsid w:val="00F6094A"/>
    <w:pPr>
      <w:numPr>
        <w:numId w:val="3"/>
      </w:numPr>
    </w:pPr>
  </w:style>
  <w:style w:type="character" w:customStyle="1" w:styleId="Heading3Char">
    <w:name w:val="Heading 3 Char"/>
    <w:basedOn w:val="DefaultParagraphFont"/>
    <w:link w:val="Heading3"/>
    <w:uiPriority w:val="9"/>
    <w:rsid w:val="00171DB7"/>
    <w:rPr>
      <w:rFonts w:asciiTheme="majorHAnsi" w:eastAsiaTheme="majorEastAsia" w:hAnsiTheme="majorHAnsi" w:cstheme="majorBidi"/>
      <w:b/>
      <w:bCs/>
      <w:color w:val="000000" w:themeColor="text1"/>
      <w:sz w:val="24"/>
    </w:rPr>
  </w:style>
  <w:style w:type="paragraph" w:styleId="TOC1">
    <w:name w:val="toc 1"/>
    <w:basedOn w:val="Normal"/>
    <w:next w:val="Normal"/>
    <w:autoRedefine/>
    <w:uiPriority w:val="39"/>
    <w:rsid w:val="005F72A7"/>
    <w:pPr>
      <w:tabs>
        <w:tab w:val="left" w:pos="660"/>
        <w:tab w:val="right" w:leader="dot" w:pos="9016"/>
      </w:tabs>
      <w:spacing w:before="240" w:after="0"/>
    </w:pPr>
    <w:rPr>
      <w:rFonts w:asciiTheme="majorHAnsi" w:hAnsiTheme="majorHAnsi" w:cstheme="majorHAnsi"/>
      <w:b/>
      <w:bCs/>
      <w:sz w:val="24"/>
      <w:szCs w:val="24"/>
    </w:rPr>
  </w:style>
  <w:style w:type="paragraph" w:styleId="TOC2">
    <w:name w:val="toc 2"/>
    <w:basedOn w:val="Normal"/>
    <w:next w:val="Normal"/>
    <w:autoRedefine/>
    <w:uiPriority w:val="39"/>
    <w:rsid w:val="00AF0978"/>
    <w:pPr>
      <w:tabs>
        <w:tab w:val="left" w:pos="660"/>
        <w:tab w:val="left" w:pos="1440"/>
        <w:tab w:val="right" w:pos="9016"/>
      </w:tabs>
      <w:spacing w:before="240" w:after="0"/>
      <w:ind w:left="660"/>
    </w:pPr>
    <w:rPr>
      <w:rFonts w:asciiTheme="minorHAnsi" w:hAnsiTheme="minorHAnsi" w:cstheme="minorHAnsi"/>
      <w:b/>
      <w:bCs/>
    </w:rPr>
  </w:style>
  <w:style w:type="paragraph" w:styleId="TOC3">
    <w:name w:val="toc 3"/>
    <w:basedOn w:val="Normal"/>
    <w:next w:val="Normal"/>
    <w:autoRedefine/>
    <w:uiPriority w:val="39"/>
    <w:rsid w:val="00A208F6"/>
    <w:pPr>
      <w:spacing w:after="0"/>
      <w:ind w:left="1440"/>
    </w:pPr>
    <w:rPr>
      <w:rFonts w:asciiTheme="minorHAnsi" w:hAnsiTheme="minorHAnsi" w:cstheme="minorHAnsi"/>
      <w:sz w:val="20"/>
    </w:rPr>
  </w:style>
  <w:style w:type="paragraph" w:styleId="TOC4">
    <w:name w:val="toc 4"/>
    <w:basedOn w:val="Normal"/>
    <w:next w:val="Normal"/>
    <w:autoRedefine/>
    <w:uiPriority w:val="39"/>
    <w:rsid w:val="00510D42"/>
    <w:pPr>
      <w:spacing w:after="0"/>
      <w:ind w:left="440"/>
    </w:pPr>
    <w:rPr>
      <w:rFonts w:asciiTheme="minorHAnsi" w:hAnsiTheme="minorHAnsi" w:cstheme="minorHAnsi"/>
      <w:sz w:val="20"/>
    </w:rPr>
  </w:style>
  <w:style w:type="character" w:styleId="Hyperlink">
    <w:name w:val="Hyperlink"/>
    <w:basedOn w:val="DefaultParagraphFont"/>
    <w:uiPriority w:val="99"/>
    <w:unhideWhenUsed/>
    <w:rsid w:val="00F6094A"/>
    <w:rPr>
      <w:color w:val="0000FF" w:themeColor="hyperlink"/>
      <w:u w:val="single"/>
    </w:rPr>
  </w:style>
  <w:style w:type="paragraph" w:styleId="FootnoteText">
    <w:name w:val="footnote text"/>
    <w:basedOn w:val="Normal"/>
    <w:link w:val="FootnoteTextChar"/>
    <w:uiPriority w:val="99"/>
    <w:unhideWhenUsed/>
    <w:rsid w:val="003300DE"/>
    <w:pPr>
      <w:spacing w:line="190" w:lineRule="atLeast"/>
    </w:pPr>
    <w:rPr>
      <w:position w:val="14"/>
    </w:rPr>
  </w:style>
  <w:style w:type="character" w:customStyle="1" w:styleId="FootnoteTextChar">
    <w:name w:val="Footnote Text Char"/>
    <w:basedOn w:val="DefaultParagraphFont"/>
    <w:link w:val="FootnoteText"/>
    <w:uiPriority w:val="99"/>
    <w:rsid w:val="003300DE"/>
    <w:rPr>
      <w:rFonts w:ascii="Helvetica Neue LT Std 65 Medium" w:hAnsi="Helvetica Neue LT Std 65 Medium"/>
      <w:color w:val="40403E"/>
      <w:position w:val="14"/>
      <w:sz w:val="22"/>
    </w:rPr>
  </w:style>
  <w:style w:type="character" w:styleId="FootnoteReference">
    <w:name w:val="footnote reference"/>
    <w:aliases w:val="IER footnote"/>
    <w:basedOn w:val="DefaultParagraphFont"/>
    <w:uiPriority w:val="99"/>
    <w:unhideWhenUsed/>
    <w:rsid w:val="003300DE"/>
    <w:rPr>
      <w:color w:val="auto"/>
      <w:position w:val="12"/>
      <w:sz w:val="16"/>
      <w:vertAlign w:val="baseline"/>
    </w:rPr>
  </w:style>
  <w:style w:type="character" w:customStyle="1" w:styleId="Heading4Char">
    <w:name w:val="Heading 4 Char"/>
    <w:basedOn w:val="DefaultParagraphFont"/>
    <w:link w:val="Heading4"/>
    <w:uiPriority w:val="9"/>
    <w:rsid w:val="00171DB7"/>
    <w:rPr>
      <w:rFonts w:asciiTheme="majorHAnsi" w:eastAsiaTheme="majorEastAsia" w:hAnsiTheme="majorHAnsi" w:cstheme="majorBidi"/>
      <w:bCs/>
      <w:iCs/>
      <w:color w:val="7F7F7F" w:themeColor="text1" w:themeTint="80"/>
      <w:sz w:val="24"/>
    </w:rPr>
  </w:style>
  <w:style w:type="paragraph" w:styleId="ListBullet2">
    <w:name w:val="List Bullet 2"/>
    <w:basedOn w:val="Normal"/>
    <w:uiPriority w:val="99"/>
    <w:qFormat/>
    <w:rsid w:val="00DD21CA"/>
    <w:pPr>
      <w:numPr>
        <w:numId w:val="2"/>
      </w:numPr>
      <w:tabs>
        <w:tab w:val="left" w:pos="714"/>
      </w:tabs>
    </w:pPr>
    <w:rPr>
      <w:rFonts w:ascii="Helvetica Neue" w:hAnsi="Helvetica Neue"/>
      <w:color w:val="404040" w:themeColor="text1" w:themeTint="BF"/>
    </w:rPr>
  </w:style>
  <w:style w:type="paragraph" w:customStyle="1" w:styleId="Contentstitle">
    <w:name w:val="Contents title"/>
    <w:basedOn w:val="Sectiontitle"/>
    <w:next w:val="Normal"/>
    <w:qFormat/>
    <w:rsid w:val="00E3268E"/>
    <w:rPr>
      <w:b w:val="0"/>
      <w:color w:val="40403E"/>
    </w:rPr>
  </w:style>
  <w:style w:type="paragraph" w:styleId="ListBullet3">
    <w:name w:val="List Bullet 3"/>
    <w:basedOn w:val="Normal"/>
    <w:uiPriority w:val="99"/>
    <w:semiHidden/>
    <w:unhideWhenUsed/>
    <w:rsid w:val="00D64D35"/>
    <w:pPr>
      <w:numPr>
        <w:numId w:val="5"/>
      </w:numPr>
      <w:ind w:left="924" w:hanging="357"/>
      <w:contextualSpacing/>
    </w:pPr>
  </w:style>
  <w:style w:type="paragraph" w:styleId="Caption">
    <w:name w:val="caption"/>
    <w:basedOn w:val="Disclaimer"/>
    <w:next w:val="Normal"/>
    <w:uiPriority w:val="35"/>
    <w:unhideWhenUsed/>
    <w:qFormat/>
    <w:rsid w:val="00F85F96"/>
    <w:rPr>
      <w:color w:val="A5A7A6"/>
      <w:sz w:val="20"/>
    </w:rPr>
  </w:style>
  <w:style w:type="character" w:styleId="CommentReference">
    <w:name w:val="annotation reference"/>
    <w:basedOn w:val="DefaultParagraphFont"/>
    <w:uiPriority w:val="99"/>
    <w:semiHidden/>
    <w:unhideWhenUsed/>
    <w:rsid w:val="00765741"/>
    <w:rPr>
      <w:sz w:val="16"/>
      <w:szCs w:val="16"/>
    </w:rPr>
  </w:style>
  <w:style w:type="paragraph" w:styleId="CommentText">
    <w:name w:val="annotation text"/>
    <w:basedOn w:val="Normal"/>
    <w:link w:val="CommentTextChar"/>
    <w:uiPriority w:val="99"/>
    <w:unhideWhenUsed/>
    <w:rsid w:val="00765741"/>
    <w:rPr>
      <w:sz w:val="20"/>
    </w:rPr>
  </w:style>
  <w:style w:type="character" w:customStyle="1" w:styleId="CommentTextChar">
    <w:name w:val="Comment Text Char"/>
    <w:basedOn w:val="DefaultParagraphFont"/>
    <w:link w:val="CommentText"/>
    <w:uiPriority w:val="99"/>
    <w:rsid w:val="00765741"/>
    <w:rPr>
      <w:rFonts w:asciiTheme="minorHAnsi" w:hAnsiTheme="minorHAnsi"/>
    </w:rPr>
  </w:style>
  <w:style w:type="paragraph" w:styleId="CommentSubject">
    <w:name w:val="annotation subject"/>
    <w:basedOn w:val="CommentText"/>
    <w:next w:val="CommentText"/>
    <w:link w:val="CommentSubjectChar"/>
    <w:uiPriority w:val="99"/>
    <w:semiHidden/>
    <w:unhideWhenUsed/>
    <w:rsid w:val="00765741"/>
    <w:rPr>
      <w:b/>
      <w:bCs/>
    </w:rPr>
  </w:style>
  <w:style w:type="character" w:customStyle="1" w:styleId="CommentSubjectChar">
    <w:name w:val="Comment Subject Char"/>
    <w:basedOn w:val="CommentTextChar"/>
    <w:link w:val="CommentSubject"/>
    <w:uiPriority w:val="99"/>
    <w:semiHidden/>
    <w:rsid w:val="00765741"/>
    <w:rPr>
      <w:rFonts w:asciiTheme="minorHAnsi" w:hAnsiTheme="minorHAnsi"/>
      <w:b/>
      <w:bCs/>
    </w:rPr>
  </w:style>
  <w:style w:type="character" w:styleId="SubtleEmphasis">
    <w:name w:val="Subtle Emphasis"/>
    <w:basedOn w:val="DefaultParagraphFont"/>
    <w:uiPriority w:val="19"/>
    <w:qFormat/>
    <w:rsid w:val="005A74CD"/>
    <w:rPr>
      <w:i/>
      <w:iCs/>
      <w:color w:val="404040" w:themeColor="text1" w:themeTint="BF"/>
    </w:rPr>
  </w:style>
  <w:style w:type="paragraph" w:styleId="NormalWeb">
    <w:name w:val="Normal (Web)"/>
    <w:basedOn w:val="Normal"/>
    <w:uiPriority w:val="99"/>
    <w:semiHidden/>
    <w:unhideWhenUsed/>
    <w:rsid w:val="00C25413"/>
    <w:pPr>
      <w:spacing w:before="100" w:beforeAutospacing="1" w:after="100" w:afterAutospacing="1"/>
    </w:pPr>
    <w:rPr>
      <w:rFonts w:ascii="Times New Roman" w:hAnsi="Times New Roman"/>
      <w:sz w:val="24"/>
      <w:szCs w:val="24"/>
      <w:lang w:eastAsia="en-GB"/>
    </w:rPr>
  </w:style>
  <w:style w:type="paragraph" w:styleId="Revision">
    <w:name w:val="Revision"/>
    <w:hidden/>
    <w:uiPriority w:val="99"/>
    <w:semiHidden/>
    <w:rsid w:val="00EA081A"/>
    <w:rPr>
      <w:rFonts w:asciiTheme="minorHAnsi" w:hAnsiTheme="minorHAnsi"/>
      <w:sz w:val="22"/>
    </w:rPr>
  </w:style>
  <w:style w:type="table" w:styleId="PlainTable4">
    <w:name w:val="Plain Table 4"/>
    <w:basedOn w:val="TableNormal"/>
    <w:uiPriority w:val="44"/>
    <w:rsid w:val="00D134F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EndnoteText">
    <w:name w:val="endnote text"/>
    <w:basedOn w:val="Normal"/>
    <w:link w:val="EndnoteTextChar"/>
    <w:uiPriority w:val="99"/>
    <w:semiHidden/>
    <w:unhideWhenUsed/>
    <w:rsid w:val="001016D3"/>
    <w:pPr>
      <w:spacing w:after="0"/>
    </w:pPr>
    <w:rPr>
      <w:sz w:val="20"/>
    </w:rPr>
  </w:style>
  <w:style w:type="character" w:customStyle="1" w:styleId="EndnoteTextChar">
    <w:name w:val="Endnote Text Char"/>
    <w:basedOn w:val="DefaultParagraphFont"/>
    <w:link w:val="EndnoteText"/>
    <w:uiPriority w:val="99"/>
    <w:semiHidden/>
    <w:rsid w:val="001016D3"/>
    <w:rPr>
      <w:rFonts w:asciiTheme="minorHAnsi" w:hAnsiTheme="minorHAnsi"/>
    </w:rPr>
  </w:style>
  <w:style w:type="character" w:styleId="EndnoteReference">
    <w:name w:val="endnote reference"/>
    <w:basedOn w:val="DefaultParagraphFont"/>
    <w:uiPriority w:val="99"/>
    <w:semiHidden/>
    <w:unhideWhenUsed/>
    <w:rsid w:val="001016D3"/>
    <w:rPr>
      <w:vertAlign w:val="superscript"/>
    </w:rPr>
  </w:style>
  <w:style w:type="character" w:customStyle="1" w:styleId="ListParagraphChar">
    <w:name w:val="List Paragraph Char"/>
    <w:basedOn w:val="DefaultParagraphFont"/>
    <w:link w:val="ListParagraph"/>
    <w:uiPriority w:val="34"/>
    <w:rsid w:val="004E2B0B"/>
    <w:rPr>
      <w:rFonts w:asciiTheme="minorHAnsi" w:hAnsiTheme="minorHAnsi"/>
      <w:sz w:val="22"/>
    </w:rPr>
  </w:style>
  <w:style w:type="paragraph" w:styleId="Title">
    <w:name w:val="Title"/>
    <w:basedOn w:val="Normal"/>
    <w:next w:val="Normal"/>
    <w:link w:val="TitleChar"/>
    <w:uiPriority w:val="10"/>
    <w:rsid w:val="005244CF"/>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44CF"/>
    <w:rPr>
      <w:rFonts w:asciiTheme="majorHAnsi" w:eastAsiaTheme="majorEastAsia" w:hAnsiTheme="majorHAnsi" w:cstheme="majorBidi"/>
      <w:spacing w:val="-10"/>
      <w:kern w:val="28"/>
      <w:sz w:val="56"/>
      <w:szCs w:val="56"/>
    </w:rPr>
  </w:style>
  <w:style w:type="character" w:styleId="Strong">
    <w:name w:val="Strong"/>
    <w:aliases w:val="Large block of text"/>
    <w:uiPriority w:val="22"/>
    <w:qFormat/>
    <w:rsid w:val="00CE7DA6"/>
    <w:rPr>
      <w:rFonts w:ascii="HelveticaNeueLT Std Lt" w:hAnsi="HelveticaNeueLT Std Lt" w:cstheme="minorHAnsi"/>
      <w:color w:val="404040" w:themeColor="text1" w:themeTint="BF"/>
      <w:szCs w:val="22"/>
    </w:rPr>
  </w:style>
  <w:style w:type="character" w:styleId="LineNumber">
    <w:name w:val="line number"/>
    <w:basedOn w:val="DefaultParagraphFont"/>
    <w:uiPriority w:val="99"/>
    <w:semiHidden/>
    <w:unhideWhenUsed/>
    <w:rsid w:val="005C1AB8"/>
  </w:style>
  <w:style w:type="paragraph" w:styleId="TOCHeading">
    <w:name w:val="TOC Heading"/>
    <w:basedOn w:val="Heading1"/>
    <w:next w:val="Normal"/>
    <w:uiPriority w:val="39"/>
    <w:unhideWhenUsed/>
    <w:qFormat/>
    <w:rsid w:val="005C1AB8"/>
    <w:pPr>
      <w:pageBreakBefore w:val="0"/>
      <w:tabs>
        <w:tab w:val="clear" w:pos="680"/>
      </w:tabs>
      <w:spacing w:before="240" w:line="259" w:lineRule="auto"/>
      <w:outlineLvl w:val="9"/>
    </w:pPr>
    <w:rPr>
      <w:rFonts w:asciiTheme="majorHAnsi" w:hAnsiTheme="majorHAnsi"/>
      <w:b/>
      <w:bCs/>
      <w:color w:val="006874" w:themeColor="accent1" w:themeShade="BF"/>
      <w:sz w:val="32"/>
      <w:szCs w:val="32"/>
      <w:lang w:val="en-US" w:eastAsia="en-US"/>
    </w:rPr>
  </w:style>
  <w:style w:type="character" w:customStyle="1" w:styleId="UnresolvedMention1">
    <w:name w:val="Unresolved Mention1"/>
    <w:basedOn w:val="DefaultParagraphFont"/>
    <w:uiPriority w:val="99"/>
    <w:semiHidden/>
    <w:unhideWhenUsed/>
    <w:rsid w:val="00654E29"/>
    <w:rPr>
      <w:color w:val="605E5C"/>
      <w:shd w:val="clear" w:color="auto" w:fill="E1DFDD"/>
    </w:rPr>
  </w:style>
  <w:style w:type="character" w:styleId="FollowedHyperlink">
    <w:name w:val="FollowedHyperlink"/>
    <w:basedOn w:val="DefaultParagraphFont"/>
    <w:uiPriority w:val="99"/>
    <w:semiHidden/>
    <w:unhideWhenUsed/>
    <w:rsid w:val="00654E29"/>
    <w:rPr>
      <w:color w:val="800080" w:themeColor="followedHyperlink"/>
      <w:u w:val="single"/>
    </w:rPr>
  </w:style>
  <w:style w:type="character" w:styleId="SubtleReference">
    <w:name w:val="Subtle Reference"/>
    <w:aliases w:val="Source"/>
    <w:uiPriority w:val="31"/>
    <w:qFormat/>
    <w:rsid w:val="00394BEB"/>
    <w:rPr>
      <w:rFonts w:ascii="HelveticaNeueLT Std" w:hAnsi="HelveticaNeueLT Std"/>
      <w:i/>
      <w:iCs/>
      <w:color w:val="A6A6A6" w:themeColor="background1" w:themeShade="A6"/>
      <w:sz w:val="16"/>
      <w:szCs w:val="16"/>
    </w:rPr>
  </w:style>
  <w:style w:type="character" w:styleId="Emphasis">
    <w:name w:val="Emphasis"/>
    <w:uiPriority w:val="20"/>
    <w:qFormat/>
    <w:rsid w:val="00CE7DA6"/>
    <w:rPr>
      <w:rFonts w:ascii="HelveticaNeueLT Std Lt" w:hAnsi="HelveticaNeueLT Std Lt"/>
      <w:i/>
      <w:iCs/>
      <w:color w:val="008C9B" w:themeColor="text2"/>
      <w:sz w:val="32"/>
      <w:szCs w:val="32"/>
    </w:rPr>
  </w:style>
  <w:style w:type="character" w:styleId="IntenseEmphasis">
    <w:name w:val="Intense Emphasis"/>
    <w:basedOn w:val="Emphasis"/>
    <w:uiPriority w:val="21"/>
    <w:qFormat/>
    <w:rsid w:val="002C436D"/>
    <w:rPr>
      <w:rFonts w:ascii="HelveticaNeueLT Std Lt" w:hAnsi="HelveticaNeueLT Std Lt"/>
      <w:i/>
      <w:iCs/>
      <w:color w:val="008C9B" w:themeColor="text2"/>
      <w:sz w:val="32"/>
      <w:szCs w:val="32"/>
    </w:rPr>
  </w:style>
  <w:style w:type="character" w:customStyle="1" w:styleId="s1">
    <w:name w:val="s1"/>
    <w:basedOn w:val="DefaultParagraphFont"/>
    <w:rsid w:val="00827330"/>
  </w:style>
  <w:style w:type="paragraph" w:styleId="TOC5">
    <w:name w:val="toc 5"/>
    <w:basedOn w:val="Normal"/>
    <w:next w:val="Normal"/>
    <w:autoRedefine/>
    <w:uiPriority w:val="39"/>
    <w:unhideWhenUsed/>
    <w:rsid w:val="00665304"/>
    <w:pPr>
      <w:spacing w:after="0"/>
      <w:ind w:left="660"/>
    </w:pPr>
    <w:rPr>
      <w:rFonts w:asciiTheme="minorHAnsi" w:hAnsiTheme="minorHAnsi" w:cstheme="minorHAnsi"/>
      <w:sz w:val="20"/>
    </w:rPr>
  </w:style>
  <w:style w:type="paragraph" w:styleId="TOC6">
    <w:name w:val="toc 6"/>
    <w:basedOn w:val="Normal"/>
    <w:next w:val="Normal"/>
    <w:autoRedefine/>
    <w:uiPriority w:val="39"/>
    <w:unhideWhenUsed/>
    <w:rsid w:val="00665304"/>
    <w:pPr>
      <w:spacing w:after="0"/>
      <w:ind w:left="880"/>
    </w:pPr>
    <w:rPr>
      <w:rFonts w:asciiTheme="minorHAnsi" w:hAnsiTheme="minorHAnsi" w:cstheme="minorHAnsi"/>
      <w:sz w:val="20"/>
    </w:rPr>
  </w:style>
  <w:style w:type="paragraph" w:styleId="TOC7">
    <w:name w:val="toc 7"/>
    <w:basedOn w:val="Normal"/>
    <w:next w:val="Normal"/>
    <w:autoRedefine/>
    <w:uiPriority w:val="39"/>
    <w:unhideWhenUsed/>
    <w:rsid w:val="00665304"/>
    <w:pPr>
      <w:spacing w:after="0"/>
      <w:ind w:left="1100"/>
    </w:pPr>
    <w:rPr>
      <w:rFonts w:asciiTheme="minorHAnsi" w:hAnsiTheme="minorHAnsi" w:cstheme="minorHAnsi"/>
      <w:sz w:val="20"/>
    </w:rPr>
  </w:style>
  <w:style w:type="paragraph" w:styleId="TOC8">
    <w:name w:val="toc 8"/>
    <w:basedOn w:val="Normal"/>
    <w:next w:val="Normal"/>
    <w:autoRedefine/>
    <w:uiPriority w:val="39"/>
    <w:unhideWhenUsed/>
    <w:rsid w:val="00665304"/>
    <w:pPr>
      <w:spacing w:after="0"/>
      <w:ind w:left="1320"/>
    </w:pPr>
    <w:rPr>
      <w:rFonts w:asciiTheme="minorHAnsi" w:hAnsiTheme="minorHAnsi" w:cstheme="minorHAnsi"/>
      <w:sz w:val="20"/>
    </w:rPr>
  </w:style>
  <w:style w:type="paragraph" w:styleId="TOC9">
    <w:name w:val="toc 9"/>
    <w:basedOn w:val="Normal"/>
    <w:next w:val="Normal"/>
    <w:autoRedefine/>
    <w:uiPriority w:val="39"/>
    <w:unhideWhenUsed/>
    <w:rsid w:val="00665304"/>
    <w:pPr>
      <w:spacing w:after="0"/>
      <w:ind w:left="1540"/>
    </w:pPr>
    <w:rPr>
      <w:rFonts w:asciiTheme="minorHAnsi" w:hAnsiTheme="minorHAnsi" w:cstheme="minorHAnsi"/>
      <w:sz w:val="20"/>
    </w:rPr>
  </w:style>
  <w:style w:type="paragraph" w:customStyle="1" w:styleId="Documentoutline">
    <w:name w:val="Document outline"/>
    <w:next w:val="Normal"/>
    <w:qFormat/>
    <w:rsid w:val="000242CF"/>
    <w:pPr>
      <w:spacing w:line="340" w:lineRule="atLeast"/>
    </w:pPr>
    <w:rPr>
      <w:rFonts w:asciiTheme="minorHAnsi" w:hAnsiTheme="minorHAnsi"/>
      <w:sz w:val="28"/>
    </w:rPr>
  </w:style>
  <w:style w:type="table" w:styleId="GridTable4-Accent4">
    <w:name w:val="Grid Table 4 Accent 4"/>
    <w:basedOn w:val="TableNormal"/>
    <w:uiPriority w:val="49"/>
    <w:rsid w:val="00923514"/>
    <w:tblPr>
      <w:tblStyleRowBandSize w:val="1"/>
      <w:tblStyleColBandSize w:val="1"/>
      <w:tblBorders>
        <w:top w:val="single" w:sz="4" w:space="0" w:color="D6D7D9" w:themeColor="accent4" w:themeTint="99"/>
        <w:left w:val="single" w:sz="4" w:space="0" w:color="D6D7D9" w:themeColor="accent4" w:themeTint="99"/>
        <w:bottom w:val="single" w:sz="4" w:space="0" w:color="D6D7D9" w:themeColor="accent4" w:themeTint="99"/>
        <w:right w:val="single" w:sz="4" w:space="0" w:color="D6D7D9" w:themeColor="accent4" w:themeTint="99"/>
        <w:insideH w:val="single" w:sz="4" w:space="0" w:color="D6D7D9" w:themeColor="accent4" w:themeTint="99"/>
        <w:insideV w:val="single" w:sz="4" w:space="0" w:color="D6D7D9" w:themeColor="accent4" w:themeTint="99"/>
      </w:tblBorders>
    </w:tblPr>
    <w:tblStylePr w:type="firstRow">
      <w:rPr>
        <w:b/>
        <w:bCs/>
        <w:color w:val="FFFFFF" w:themeColor="background1"/>
      </w:rPr>
      <w:tblPr/>
      <w:tcPr>
        <w:tcBorders>
          <w:top w:val="single" w:sz="4" w:space="0" w:color="BCBEC0" w:themeColor="accent4"/>
          <w:left w:val="single" w:sz="4" w:space="0" w:color="BCBEC0" w:themeColor="accent4"/>
          <w:bottom w:val="single" w:sz="4" w:space="0" w:color="BCBEC0" w:themeColor="accent4"/>
          <w:right w:val="single" w:sz="4" w:space="0" w:color="BCBEC0" w:themeColor="accent4"/>
          <w:insideH w:val="nil"/>
          <w:insideV w:val="nil"/>
        </w:tcBorders>
        <w:shd w:val="clear" w:color="auto" w:fill="BCBEC0" w:themeFill="accent4"/>
      </w:tcPr>
    </w:tblStylePr>
    <w:tblStylePr w:type="lastRow">
      <w:rPr>
        <w:b/>
        <w:bCs/>
      </w:rPr>
      <w:tblPr/>
      <w:tcPr>
        <w:tcBorders>
          <w:top w:val="double" w:sz="4" w:space="0" w:color="BCBEC0" w:themeColor="accent4"/>
        </w:tcBorders>
      </w:tcPr>
    </w:tblStylePr>
    <w:tblStylePr w:type="firstCol">
      <w:rPr>
        <w:b/>
        <w:bCs/>
      </w:rPr>
    </w:tblStylePr>
    <w:tblStylePr w:type="lastCol">
      <w:rPr>
        <w:b/>
        <w:bCs/>
      </w:rPr>
    </w:tblStylePr>
    <w:tblStylePr w:type="band1Vert">
      <w:tblPr/>
      <w:tcPr>
        <w:shd w:val="clear" w:color="auto" w:fill="F1F1F2" w:themeFill="accent4" w:themeFillTint="33"/>
      </w:tcPr>
    </w:tblStylePr>
    <w:tblStylePr w:type="band1Horz">
      <w:tblPr/>
      <w:tcPr>
        <w:shd w:val="clear" w:color="auto" w:fill="F1F1F2" w:themeFill="accent4" w:themeFillTint="33"/>
      </w:tcPr>
    </w:tblStylePr>
  </w:style>
  <w:style w:type="table" w:styleId="GridTable3-Accent3">
    <w:name w:val="Grid Table 3 Accent 3"/>
    <w:basedOn w:val="TableNormal"/>
    <w:uiPriority w:val="48"/>
    <w:rsid w:val="00923514"/>
    <w:tblPr>
      <w:tblStyleRowBandSize w:val="1"/>
      <w:tblStyleColBandSize w:val="1"/>
      <w:tblBorders>
        <w:top w:val="single" w:sz="4" w:space="0" w:color="A6A7AA" w:themeColor="accent3" w:themeTint="99"/>
        <w:left w:val="single" w:sz="4" w:space="0" w:color="A6A7AA" w:themeColor="accent3" w:themeTint="99"/>
        <w:bottom w:val="single" w:sz="4" w:space="0" w:color="A6A7AA" w:themeColor="accent3" w:themeTint="99"/>
        <w:right w:val="single" w:sz="4" w:space="0" w:color="A6A7AA" w:themeColor="accent3" w:themeTint="99"/>
        <w:insideH w:val="single" w:sz="4" w:space="0" w:color="A6A7AA" w:themeColor="accent3" w:themeTint="99"/>
        <w:insideV w:val="single" w:sz="4" w:space="0" w:color="A6A7AA"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1E2" w:themeFill="accent3" w:themeFillTint="33"/>
      </w:tcPr>
    </w:tblStylePr>
    <w:tblStylePr w:type="band1Horz">
      <w:tblPr/>
      <w:tcPr>
        <w:shd w:val="clear" w:color="auto" w:fill="E1E1E2" w:themeFill="accent3" w:themeFillTint="33"/>
      </w:tcPr>
    </w:tblStylePr>
    <w:tblStylePr w:type="neCell">
      <w:tblPr/>
      <w:tcPr>
        <w:tcBorders>
          <w:bottom w:val="single" w:sz="4" w:space="0" w:color="A6A7AA" w:themeColor="accent3" w:themeTint="99"/>
        </w:tcBorders>
      </w:tcPr>
    </w:tblStylePr>
    <w:tblStylePr w:type="nwCell">
      <w:tblPr/>
      <w:tcPr>
        <w:tcBorders>
          <w:bottom w:val="single" w:sz="4" w:space="0" w:color="A6A7AA" w:themeColor="accent3" w:themeTint="99"/>
        </w:tcBorders>
      </w:tcPr>
    </w:tblStylePr>
    <w:tblStylePr w:type="seCell">
      <w:tblPr/>
      <w:tcPr>
        <w:tcBorders>
          <w:top w:val="single" w:sz="4" w:space="0" w:color="A6A7AA" w:themeColor="accent3" w:themeTint="99"/>
        </w:tcBorders>
      </w:tcPr>
    </w:tblStylePr>
    <w:tblStylePr w:type="swCell">
      <w:tblPr/>
      <w:tcPr>
        <w:tcBorders>
          <w:top w:val="single" w:sz="4" w:space="0" w:color="A6A7AA" w:themeColor="accent3" w:themeTint="99"/>
        </w:tcBorders>
      </w:tcPr>
    </w:tblStylePr>
  </w:style>
  <w:style w:type="table" w:styleId="GridTable2-Accent4">
    <w:name w:val="Grid Table 2 Accent 4"/>
    <w:basedOn w:val="TableNormal"/>
    <w:uiPriority w:val="47"/>
    <w:rsid w:val="008F045D"/>
    <w:tblPr>
      <w:tblStyleRowBandSize w:val="1"/>
      <w:tblStyleColBandSize w:val="1"/>
      <w:tblBorders>
        <w:top w:val="single" w:sz="2" w:space="0" w:color="D6D7D9" w:themeColor="accent4" w:themeTint="99"/>
        <w:bottom w:val="single" w:sz="2" w:space="0" w:color="D6D7D9" w:themeColor="accent4" w:themeTint="99"/>
        <w:insideH w:val="single" w:sz="2" w:space="0" w:color="D6D7D9" w:themeColor="accent4" w:themeTint="99"/>
        <w:insideV w:val="single" w:sz="2" w:space="0" w:color="D6D7D9" w:themeColor="accent4" w:themeTint="99"/>
      </w:tblBorders>
    </w:tblPr>
    <w:tblStylePr w:type="firstRow">
      <w:rPr>
        <w:b/>
        <w:bCs/>
      </w:rPr>
      <w:tblPr/>
      <w:tcPr>
        <w:tcBorders>
          <w:top w:val="nil"/>
          <w:bottom w:val="single" w:sz="12" w:space="0" w:color="D6D7D9" w:themeColor="accent4" w:themeTint="99"/>
          <w:insideH w:val="nil"/>
          <w:insideV w:val="nil"/>
        </w:tcBorders>
        <w:shd w:val="clear" w:color="auto" w:fill="FFFFFF" w:themeFill="background1"/>
      </w:tcPr>
    </w:tblStylePr>
    <w:tblStylePr w:type="lastRow">
      <w:rPr>
        <w:b/>
        <w:bCs/>
      </w:rPr>
      <w:tblPr/>
      <w:tcPr>
        <w:tcBorders>
          <w:top w:val="double" w:sz="2" w:space="0" w:color="D6D7D9"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1F1F2" w:themeFill="accent4" w:themeFillTint="33"/>
      </w:tcPr>
    </w:tblStylePr>
    <w:tblStylePr w:type="band1Horz">
      <w:tblPr/>
      <w:tcPr>
        <w:shd w:val="clear" w:color="auto" w:fill="F1F1F2" w:themeFill="accent4" w:themeFillTint="33"/>
      </w:tcPr>
    </w:tblStylePr>
  </w:style>
  <w:style w:type="table" w:styleId="GridTable3-Accent5">
    <w:name w:val="Grid Table 3 Accent 5"/>
    <w:basedOn w:val="TableNormal"/>
    <w:uiPriority w:val="48"/>
    <w:rsid w:val="008F045D"/>
    <w:tblPr>
      <w:tblStyleRowBandSize w:val="1"/>
      <w:tblStyleColBandSize w:val="1"/>
      <w:tblBorders>
        <w:top w:val="single" w:sz="4" w:space="0" w:color="F4767B" w:themeColor="accent5" w:themeTint="99"/>
        <w:left w:val="single" w:sz="4" w:space="0" w:color="F4767B" w:themeColor="accent5" w:themeTint="99"/>
        <w:bottom w:val="single" w:sz="4" w:space="0" w:color="F4767B" w:themeColor="accent5" w:themeTint="99"/>
        <w:right w:val="single" w:sz="4" w:space="0" w:color="F4767B" w:themeColor="accent5" w:themeTint="99"/>
        <w:insideH w:val="single" w:sz="4" w:space="0" w:color="F4767B" w:themeColor="accent5" w:themeTint="99"/>
        <w:insideV w:val="single" w:sz="4" w:space="0" w:color="F4767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D1D2" w:themeFill="accent5" w:themeFillTint="33"/>
      </w:tcPr>
    </w:tblStylePr>
    <w:tblStylePr w:type="band1Horz">
      <w:tblPr/>
      <w:tcPr>
        <w:shd w:val="clear" w:color="auto" w:fill="FBD1D2" w:themeFill="accent5" w:themeFillTint="33"/>
      </w:tcPr>
    </w:tblStylePr>
    <w:tblStylePr w:type="neCell">
      <w:tblPr/>
      <w:tcPr>
        <w:tcBorders>
          <w:bottom w:val="single" w:sz="4" w:space="0" w:color="F4767B" w:themeColor="accent5" w:themeTint="99"/>
        </w:tcBorders>
      </w:tcPr>
    </w:tblStylePr>
    <w:tblStylePr w:type="nwCell">
      <w:tblPr/>
      <w:tcPr>
        <w:tcBorders>
          <w:bottom w:val="single" w:sz="4" w:space="0" w:color="F4767B" w:themeColor="accent5" w:themeTint="99"/>
        </w:tcBorders>
      </w:tcPr>
    </w:tblStylePr>
    <w:tblStylePr w:type="seCell">
      <w:tblPr/>
      <w:tcPr>
        <w:tcBorders>
          <w:top w:val="single" w:sz="4" w:space="0" w:color="F4767B" w:themeColor="accent5" w:themeTint="99"/>
        </w:tcBorders>
      </w:tcPr>
    </w:tblStylePr>
    <w:tblStylePr w:type="swCell">
      <w:tblPr/>
      <w:tcPr>
        <w:tcBorders>
          <w:top w:val="single" w:sz="4" w:space="0" w:color="F4767B" w:themeColor="accent5" w:themeTint="99"/>
        </w:tcBorders>
      </w:tcPr>
    </w:tblStylePr>
  </w:style>
  <w:style w:type="table" w:styleId="GridTable3-Accent6">
    <w:name w:val="Grid Table 3 Accent 6"/>
    <w:basedOn w:val="TableNormal"/>
    <w:uiPriority w:val="48"/>
    <w:rsid w:val="008F045D"/>
    <w:tblPr>
      <w:tblStyleRowBandSize w:val="1"/>
      <w:tblStyleColBandSize w:val="1"/>
      <w:tblBorders>
        <w:top w:val="single" w:sz="4" w:space="0" w:color="00E1FD" w:themeColor="accent6" w:themeTint="99"/>
        <w:left w:val="single" w:sz="4" w:space="0" w:color="00E1FD" w:themeColor="accent6" w:themeTint="99"/>
        <w:bottom w:val="single" w:sz="4" w:space="0" w:color="00E1FD" w:themeColor="accent6" w:themeTint="99"/>
        <w:right w:val="single" w:sz="4" w:space="0" w:color="00E1FD" w:themeColor="accent6" w:themeTint="99"/>
        <w:insideH w:val="single" w:sz="4" w:space="0" w:color="00E1FD" w:themeColor="accent6" w:themeTint="99"/>
        <w:insideV w:val="single" w:sz="4" w:space="0" w:color="00E1F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9F5FF" w:themeFill="accent6" w:themeFillTint="33"/>
      </w:tcPr>
    </w:tblStylePr>
    <w:tblStylePr w:type="band1Horz">
      <w:tblPr/>
      <w:tcPr>
        <w:shd w:val="clear" w:color="auto" w:fill="A9F5FF" w:themeFill="accent6" w:themeFillTint="33"/>
      </w:tcPr>
    </w:tblStylePr>
    <w:tblStylePr w:type="neCell">
      <w:tblPr/>
      <w:tcPr>
        <w:tcBorders>
          <w:bottom w:val="single" w:sz="4" w:space="0" w:color="00E1FD" w:themeColor="accent6" w:themeTint="99"/>
        </w:tcBorders>
      </w:tcPr>
    </w:tblStylePr>
    <w:tblStylePr w:type="nwCell">
      <w:tblPr/>
      <w:tcPr>
        <w:tcBorders>
          <w:bottom w:val="single" w:sz="4" w:space="0" w:color="00E1FD" w:themeColor="accent6" w:themeTint="99"/>
        </w:tcBorders>
      </w:tcPr>
    </w:tblStylePr>
    <w:tblStylePr w:type="seCell">
      <w:tblPr/>
      <w:tcPr>
        <w:tcBorders>
          <w:top w:val="single" w:sz="4" w:space="0" w:color="00E1FD" w:themeColor="accent6" w:themeTint="99"/>
        </w:tcBorders>
      </w:tcPr>
    </w:tblStylePr>
    <w:tblStylePr w:type="swCell">
      <w:tblPr/>
      <w:tcPr>
        <w:tcBorders>
          <w:top w:val="single" w:sz="4" w:space="0" w:color="00E1FD" w:themeColor="accent6" w:themeTint="99"/>
        </w:tcBorders>
      </w:tcPr>
    </w:tblStylePr>
  </w:style>
  <w:style w:type="table" w:styleId="GridTable3-Accent4">
    <w:name w:val="Grid Table 3 Accent 4"/>
    <w:basedOn w:val="TableNormal"/>
    <w:uiPriority w:val="48"/>
    <w:rsid w:val="008F045D"/>
    <w:tblPr>
      <w:tblStyleRowBandSize w:val="1"/>
      <w:tblStyleColBandSize w:val="1"/>
      <w:tblBorders>
        <w:top w:val="single" w:sz="4" w:space="0" w:color="D6D7D9" w:themeColor="accent4" w:themeTint="99"/>
        <w:left w:val="single" w:sz="4" w:space="0" w:color="D6D7D9" w:themeColor="accent4" w:themeTint="99"/>
        <w:bottom w:val="single" w:sz="4" w:space="0" w:color="D6D7D9" w:themeColor="accent4" w:themeTint="99"/>
        <w:right w:val="single" w:sz="4" w:space="0" w:color="D6D7D9" w:themeColor="accent4" w:themeTint="99"/>
        <w:insideH w:val="single" w:sz="4" w:space="0" w:color="D6D7D9" w:themeColor="accent4" w:themeTint="99"/>
        <w:insideV w:val="single" w:sz="4" w:space="0" w:color="D6D7D9"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F1F2" w:themeFill="accent4" w:themeFillTint="33"/>
      </w:tcPr>
    </w:tblStylePr>
    <w:tblStylePr w:type="band1Horz">
      <w:tblPr/>
      <w:tcPr>
        <w:shd w:val="clear" w:color="auto" w:fill="F1F1F2" w:themeFill="accent4" w:themeFillTint="33"/>
      </w:tcPr>
    </w:tblStylePr>
    <w:tblStylePr w:type="neCell">
      <w:tblPr/>
      <w:tcPr>
        <w:tcBorders>
          <w:bottom w:val="single" w:sz="4" w:space="0" w:color="D6D7D9" w:themeColor="accent4" w:themeTint="99"/>
        </w:tcBorders>
      </w:tcPr>
    </w:tblStylePr>
    <w:tblStylePr w:type="nwCell">
      <w:tblPr/>
      <w:tcPr>
        <w:tcBorders>
          <w:bottom w:val="single" w:sz="4" w:space="0" w:color="D6D7D9" w:themeColor="accent4" w:themeTint="99"/>
        </w:tcBorders>
      </w:tcPr>
    </w:tblStylePr>
    <w:tblStylePr w:type="seCell">
      <w:tblPr/>
      <w:tcPr>
        <w:tcBorders>
          <w:top w:val="single" w:sz="4" w:space="0" w:color="D6D7D9" w:themeColor="accent4" w:themeTint="99"/>
        </w:tcBorders>
      </w:tcPr>
    </w:tblStylePr>
    <w:tblStylePr w:type="swCell">
      <w:tblPr/>
      <w:tcPr>
        <w:tcBorders>
          <w:top w:val="single" w:sz="4" w:space="0" w:color="D6D7D9" w:themeColor="accent4" w:themeTint="99"/>
        </w:tcBorders>
      </w:tcPr>
    </w:tblStylePr>
  </w:style>
  <w:style w:type="table" w:styleId="GridTable3-Accent2">
    <w:name w:val="Grid Table 3 Accent 2"/>
    <w:basedOn w:val="TableNormal"/>
    <w:uiPriority w:val="48"/>
    <w:rsid w:val="008F045D"/>
    <w:tblPr>
      <w:tblStyleRowBandSize w:val="1"/>
      <w:tblStyleColBandSize w:val="1"/>
      <w:tblBorders>
        <w:top w:val="single" w:sz="4" w:space="0" w:color="5CD2FF" w:themeColor="accent2" w:themeTint="99"/>
        <w:left w:val="single" w:sz="4" w:space="0" w:color="5CD2FF" w:themeColor="accent2" w:themeTint="99"/>
        <w:bottom w:val="single" w:sz="4" w:space="0" w:color="5CD2FF" w:themeColor="accent2" w:themeTint="99"/>
        <w:right w:val="single" w:sz="4" w:space="0" w:color="5CD2FF" w:themeColor="accent2" w:themeTint="99"/>
        <w:insideH w:val="single" w:sz="4" w:space="0" w:color="5CD2FF" w:themeColor="accent2" w:themeTint="99"/>
        <w:insideV w:val="single" w:sz="4" w:space="0" w:color="5CD2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8F0FF" w:themeFill="accent2" w:themeFillTint="33"/>
      </w:tcPr>
    </w:tblStylePr>
    <w:tblStylePr w:type="band1Horz">
      <w:tblPr/>
      <w:tcPr>
        <w:shd w:val="clear" w:color="auto" w:fill="C8F0FF" w:themeFill="accent2" w:themeFillTint="33"/>
      </w:tcPr>
    </w:tblStylePr>
    <w:tblStylePr w:type="neCell">
      <w:tblPr/>
      <w:tcPr>
        <w:tcBorders>
          <w:bottom w:val="single" w:sz="4" w:space="0" w:color="5CD2FF" w:themeColor="accent2" w:themeTint="99"/>
        </w:tcBorders>
      </w:tcPr>
    </w:tblStylePr>
    <w:tblStylePr w:type="nwCell">
      <w:tblPr/>
      <w:tcPr>
        <w:tcBorders>
          <w:bottom w:val="single" w:sz="4" w:space="0" w:color="5CD2FF" w:themeColor="accent2" w:themeTint="99"/>
        </w:tcBorders>
      </w:tcPr>
    </w:tblStylePr>
    <w:tblStylePr w:type="seCell">
      <w:tblPr/>
      <w:tcPr>
        <w:tcBorders>
          <w:top w:val="single" w:sz="4" w:space="0" w:color="5CD2FF" w:themeColor="accent2" w:themeTint="99"/>
        </w:tcBorders>
      </w:tcPr>
    </w:tblStylePr>
    <w:tblStylePr w:type="swCell">
      <w:tblPr/>
      <w:tcPr>
        <w:tcBorders>
          <w:top w:val="single" w:sz="4" w:space="0" w:color="5CD2FF" w:themeColor="accent2" w:themeTint="99"/>
        </w:tcBorders>
      </w:tcPr>
    </w:tblStylePr>
  </w:style>
  <w:style w:type="table" w:styleId="GridTable3">
    <w:name w:val="Grid Table 3"/>
    <w:basedOn w:val="TableNormal"/>
    <w:uiPriority w:val="48"/>
    <w:rsid w:val="008F045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UnresolvedMention2">
    <w:name w:val="Unresolved Mention2"/>
    <w:basedOn w:val="DefaultParagraphFont"/>
    <w:uiPriority w:val="99"/>
    <w:semiHidden/>
    <w:unhideWhenUsed/>
    <w:rsid w:val="00E94E38"/>
    <w:rPr>
      <w:color w:val="605E5C"/>
      <w:shd w:val="clear" w:color="auto" w:fill="E1DFDD"/>
    </w:rPr>
  </w:style>
  <w:style w:type="character" w:styleId="UnresolvedMention">
    <w:name w:val="Unresolved Mention"/>
    <w:basedOn w:val="DefaultParagraphFont"/>
    <w:uiPriority w:val="99"/>
    <w:semiHidden/>
    <w:unhideWhenUsed/>
    <w:rsid w:val="00C1762D"/>
    <w:rPr>
      <w:color w:val="605E5C"/>
      <w:shd w:val="clear" w:color="auto" w:fill="E1DFDD"/>
    </w:rPr>
  </w:style>
  <w:style w:type="table" w:styleId="TableGridLight">
    <w:name w:val="Grid Table Light"/>
    <w:basedOn w:val="TableNormal"/>
    <w:uiPriority w:val="40"/>
    <w:rsid w:val="000D181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5382">
      <w:bodyDiv w:val="1"/>
      <w:marLeft w:val="0"/>
      <w:marRight w:val="0"/>
      <w:marTop w:val="0"/>
      <w:marBottom w:val="0"/>
      <w:divBdr>
        <w:top w:val="none" w:sz="0" w:space="0" w:color="auto"/>
        <w:left w:val="none" w:sz="0" w:space="0" w:color="auto"/>
        <w:bottom w:val="none" w:sz="0" w:space="0" w:color="auto"/>
        <w:right w:val="none" w:sz="0" w:space="0" w:color="auto"/>
      </w:divBdr>
    </w:div>
    <w:div w:id="1705528">
      <w:bodyDiv w:val="1"/>
      <w:marLeft w:val="0"/>
      <w:marRight w:val="0"/>
      <w:marTop w:val="0"/>
      <w:marBottom w:val="0"/>
      <w:divBdr>
        <w:top w:val="none" w:sz="0" w:space="0" w:color="auto"/>
        <w:left w:val="none" w:sz="0" w:space="0" w:color="auto"/>
        <w:bottom w:val="none" w:sz="0" w:space="0" w:color="auto"/>
        <w:right w:val="none" w:sz="0" w:space="0" w:color="auto"/>
      </w:divBdr>
    </w:div>
    <w:div w:id="18044750">
      <w:bodyDiv w:val="1"/>
      <w:marLeft w:val="0"/>
      <w:marRight w:val="0"/>
      <w:marTop w:val="0"/>
      <w:marBottom w:val="0"/>
      <w:divBdr>
        <w:top w:val="none" w:sz="0" w:space="0" w:color="auto"/>
        <w:left w:val="none" w:sz="0" w:space="0" w:color="auto"/>
        <w:bottom w:val="none" w:sz="0" w:space="0" w:color="auto"/>
        <w:right w:val="none" w:sz="0" w:space="0" w:color="auto"/>
      </w:divBdr>
    </w:div>
    <w:div w:id="18165893">
      <w:bodyDiv w:val="1"/>
      <w:marLeft w:val="0"/>
      <w:marRight w:val="0"/>
      <w:marTop w:val="0"/>
      <w:marBottom w:val="0"/>
      <w:divBdr>
        <w:top w:val="none" w:sz="0" w:space="0" w:color="auto"/>
        <w:left w:val="none" w:sz="0" w:space="0" w:color="auto"/>
        <w:bottom w:val="none" w:sz="0" w:space="0" w:color="auto"/>
        <w:right w:val="none" w:sz="0" w:space="0" w:color="auto"/>
      </w:divBdr>
    </w:div>
    <w:div w:id="25059362">
      <w:bodyDiv w:val="1"/>
      <w:marLeft w:val="0"/>
      <w:marRight w:val="0"/>
      <w:marTop w:val="0"/>
      <w:marBottom w:val="0"/>
      <w:divBdr>
        <w:top w:val="none" w:sz="0" w:space="0" w:color="auto"/>
        <w:left w:val="none" w:sz="0" w:space="0" w:color="auto"/>
        <w:bottom w:val="none" w:sz="0" w:space="0" w:color="auto"/>
        <w:right w:val="none" w:sz="0" w:space="0" w:color="auto"/>
      </w:divBdr>
    </w:div>
    <w:div w:id="29651165">
      <w:bodyDiv w:val="1"/>
      <w:marLeft w:val="0"/>
      <w:marRight w:val="0"/>
      <w:marTop w:val="0"/>
      <w:marBottom w:val="0"/>
      <w:divBdr>
        <w:top w:val="none" w:sz="0" w:space="0" w:color="auto"/>
        <w:left w:val="none" w:sz="0" w:space="0" w:color="auto"/>
        <w:bottom w:val="none" w:sz="0" w:space="0" w:color="auto"/>
        <w:right w:val="none" w:sz="0" w:space="0" w:color="auto"/>
      </w:divBdr>
    </w:div>
    <w:div w:id="35783943">
      <w:bodyDiv w:val="1"/>
      <w:marLeft w:val="0"/>
      <w:marRight w:val="0"/>
      <w:marTop w:val="0"/>
      <w:marBottom w:val="0"/>
      <w:divBdr>
        <w:top w:val="none" w:sz="0" w:space="0" w:color="auto"/>
        <w:left w:val="none" w:sz="0" w:space="0" w:color="auto"/>
        <w:bottom w:val="none" w:sz="0" w:space="0" w:color="auto"/>
        <w:right w:val="none" w:sz="0" w:space="0" w:color="auto"/>
      </w:divBdr>
    </w:div>
    <w:div w:id="40327024">
      <w:bodyDiv w:val="1"/>
      <w:marLeft w:val="0"/>
      <w:marRight w:val="0"/>
      <w:marTop w:val="0"/>
      <w:marBottom w:val="0"/>
      <w:divBdr>
        <w:top w:val="none" w:sz="0" w:space="0" w:color="auto"/>
        <w:left w:val="none" w:sz="0" w:space="0" w:color="auto"/>
        <w:bottom w:val="none" w:sz="0" w:space="0" w:color="auto"/>
        <w:right w:val="none" w:sz="0" w:space="0" w:color="auto"/>
      </w:divBdr>
    </w:div>
    <w:div w:id="48497513">
      <w:bodyDiv w:val="1"/>
      <w:marLeft w:val="0"/>
      <w:marRight w:val="0"/>
      <w:marTop w:val="0"/>
      <w:marBottom w:val="0"/>
      <w:divBdr>
        <w:top w:val="none" w:sz="0" w:space="0" w:color="auto"/>
        <w:left w:val="none" w:sz="0" w:space="0" w:color="auto"/>
        <w:bottom w:val="none" w:sz="0" w:space="0" w:color="auto"/>
        <w:right w:val="none" w:sz="0" w:space="0" w:color="auto"/>
      </w:divBdr>
    </w:div>
    <w:div w:id="49159790">
      <w:bodyDiv w:val="1"/>
      <w:marLeft w:val="0"/>
      <w:marRight w:val="0"/>
      <w:marTop w:val="0"/>
      <w:marBottom w:val="0"/>
      <w:divBdr>
        <w:top w:val="none" w:sz="0" w:space="0" w:color="auto"/>
        <w:left w:val="none" w:sz="0" w:space="0" w:color="auto"/>
        <w:bottom w:val="none" w:sz="0" w:space="0" w:color="auto"/>
        <w:right w:val="none" w:sz="0" w:space="0" w:color="auto"/>
      </w:divBdr>
    </w:div>
    <w:div w:id="49890080">
      <w:bodyDiv w:val="1"/>
      <w:marLeft w:val="0"/>
      <w:marRight w:val="0"/>
      <w:marTop w:val="0"/>
      <w:marBottom w:val="0"/>
      <w:divBdr>
        <w:top w:val="none" w:sz="0" w:space="0" w:color="auto"/>
        <w:left w:val="none" w:sz="0" w:space="0" w:color="auto"/>
        <w:bottom w:val="none" w:sz="0" w:space="0" w:color="auto"/>
        <w:right w:val="none" w:sz="0" w:space="0" w:color="auto"/>
      </w:divBdr>
    </w:div>
    <w:div w:id="51925804">
      <w:bodyDiv w:val="1"/>
      <w:marLeft w:val="0"/>
      <w:marRight w:val="0"/>
      <w:marTop w:val="0"/>
      <w:marBottom w:val="0"/>
      <w:divBdr>
        <w:top w:val="none" w:sz="0" w:space="0" w:color="auto"/>
        <w:left w:val="none" w:sz="0" w:space="0" w:color="auto"/>
        <w:bottom w:val="none" w:sz="0" w:space="0" w:color="auto"/>
        <w:right w:val="none" w:sz="0" w:space="0" w:color="auto"/>
      </w:divBdr>
    </w:div>
    <w:div w:id="53939999">
      <w:bodyDiv w:val="1"/>
      <w:marLeft w:val="0"/>
      <w:marRight w:val="0"/>
      <w:marTop w:val="0"/>
      <w:marBottom w:val="0"/>
      <w:divBdr>
        <w:top w:val="none" w:sz="0" w:space="0" w:color="auto"/>
        <w:left w:val="none" w:sz="0" w:space="0" w:color="auto"/>
        <w:bottom w:val="none" w:sz="0" w:space="0" w:color="auto"/>
        <w:right w:val="none" w:sz="0" w:space="0" w:color="auto"/>
      </w:divBdr>
    </w:div>
    <w:div w:id="70280522">
      <w:bodyDiv w:val="1"/>
      <w:marLeft w:val="0"/>
      <w:marRight w:val="0"/>
      <w:marTop w:val="0"/>
      <w:marBottom w:val="0"/>
      <w:divBdr>
        <w:top w:val="none" w:sz="0" w:space="0" w:color="auto"/>
        <w:left w:val="none" w:sz="0" w:space="0" w:color="auto"/>
        <w:bottom w:val="none" w:sz="0" w:space="0" w:color="auto"/>
        <w:right w:val="none" w:sz="0" w:space="0" w:color="auto"/>
      </w:divBdr>
    </w:div>
    <w:div w:id="76556903">
      <w:bodyDiv w:val="1"/>
      <w:marLeft w:val="0"/>
      <w:marRight w:val="0"/>
      <w:marTop w:val="0"/>
      <w:marBottom w:val="0"/>
      <w:divBdr>
        <w:top w:val="none" w:sz="0" w:space="0" w:color="auto"/>
        <w:left w:val="none" w:sz="0" w:space="0" w:color="auto"/>
        <w:bottom w:val="none" w:sz="0" w:space="0" w:color="auto"/>
        <w:right w:val="none" w:sz="0" w:space="0" w:color="auto"/>
      </w:divBdr>
    </w:div>
    <w:div w:id="78142858">
      <w:bodyDiv w:val="1"/>
      <w:marLeft w:val="0"/>
      <w:marRight w:val="0"/>
      <w:marTop w:val="0"/>
      <w:marBottom w:val="0"/>
      <w:divBdr>
        <w:top w:val="none" w:sz="0" w:space="0" w:color="auto"/>
        <w:left w:val="none" w:sz="0" w:space="0" w:color="auto"/>
        <w:bottom w:val="none" w:sz="0" w:space="0" w:color="auto"/>
        <w:right w:val="none" w:sz="0" w:space="0" w:color="auto"/>
      </w:divBdr>
    </w:div>
    <w:div w:id="83235549">
      <w:bodyDiv w:val="1"/>
      <w:marLeft w:val="0"/>
      <w:marRight w:val="0"/>
      <w:marTop w:val="0"/>
      <w:marBottom w:val="0"/>
      <w:divBdr>
        <w:top w:val="none" w:sz="0" w:space="0" w:color="auto"/>
        <w:left w:val="none" w:sz="0" w:space="0" w:color="auto"/>
        <w:bottom w:val="none" w:sz="0" w:space="0" w:color="auto"/>
        <w:right w:val="none" w:sz="0" w:space="0" w:color="auto"/>
      </w:divBdr>
    </w:div>
    <w:div w:id="87889440">
      <w:bodyDiv w:val="1"/>
      <w:marLeft w:val="0"/>
      <w:marRight w:val="0"/>
      <w:marTop w:val="0"/>
      <w:marBottom w:val="0"/>
      <w:divBdr>
        <w:top w:val="none" w:sz="0" w:space="0" w:color="auto"/>
        <w:left w:val="none" w:sz="0" w:space="0" w:color="auto"/>
        <w:bottom w:val="none" w:sz="0" w:space="0" w:color="auto"/>
        <w:right w:val="none" w:sz="0" w:space="0" w:color="auto"/>
      </w:divBdr>
    </w:div>
    <w:div w:id="98258529">
      <w:bodyDiv w:val="1"/>
      <w:marLeft w:val="0"/>
      <w:marRight w:val="0"/>
      <w:marTop w:val="0"/>
      <w:marBottom w:val="0"/>
      <w:divBdr>
        <w:top w:val="none" w:sz="0" w:space="0" w:color="auto"/>
        <w:left w:val="none" w:sz="0" w:space="0" w:color="auto"/>
        <w:bottom w:val="none" w:sz="0" w:space="0" w:color="auto"/>
        <w:right w:val="none" w:sz="0" w:space="0" w:color="auto"/>
      </w:divBdr>
    </w:div>
    <w:div w:id="100497436">
      <w:bodyDiv w:val="1"/>
      <w:marLeft w:val="0"/>
      <w:marRight w:val="0"/>
      <w:marTop w:val="0"/>
      <w:marBottom w:val="0"/>
      <w:divBdr>
        <w:top w:val="none" w:sz="0" w:space="0" w:color="auto"/>
        <w:left w:val="none" w:sz="0" w:space="0" w:color="auto"/>
        <w:bottom w:val="none" w:sz="0" w:space="0" w:color="auto"/>
        <w:right w:val="none" w:sz="0" w:space="0" w:color="auto"/>
      </w:divBdr>
    </w:div>
    <w:div w:id="107628855">
      <w:bodyDiv w:val="1"/>
      <w:marLeft w:val="0"/>
      <w:marRight w:val="0"/>
      <w:marTop w:val="0"/>
      <w:marBottom w:val="0"/>
      <w:divBdr>
        <w:top w:val="none" w:sz="0" w:space="0" w:color="auto"/>
        <w:left w:val="none" w:sz="0" w:space="0" w:color="auto"/>
        <w:bottom w:val="none" w:sz="0" w:space="0" w:color="auto"/>
        <w:right w:val="none" w:sz="0" w:space="0" w:color="auto"/>
      </w:divBdr>
    </w:div>
    <w:div w:id="113836137">
      <w:bodyDiv w:val="1"/>
      <w:marLeft w:val="0"/>
      <w:marRight w:val="0"/>
      <w:marTop w:val="0"/>
      <w:marBottom w:val="0"/>
      <w:divBdr>
        <w:top w:val="none" w:sz="0" w:space="0" w:color="auto"/>
        <w:left w:val="none" w:sz="0" w:space="0" w:color="auto"/>
        <w:bottom w:val="none" w:sz="0" w:space="0" w:color="auto"/>
        <w:right w:val="none" w:sz="0" w:space="0" w:color="auto"/>
      </w:divBdr>
    </w:div>
    <w:div w:id="120265384">
      <w:bodyDiv w:val="1"/>
      <w:marLeft w:val="0"/>
      <w:marRight w:val="0"/>
      <w:marTop w:val="0"/>
      <w:marBottom w:val="0"/>
      <w:divBdr>
        <w:top w:val="none" w:sz="0" w:space="0" w:color="auto"/>
        <w:left w:val="none" w:sz="0" w:space="0" w:color="auto"/>
        <w:bottom w:val="none" w:sz="0" w:space="0" w:color="auto"/>
        <w:right w:val="none" w:sz="0" w:space="0" w:color="auto"/>
      </w:divBdr>
    </w:div>
    <w:div w:id="123937579">
      <w:bodyDiv w:val="1"/>
      <w:marLeft w:val="0"/>
      <w:marRight w:val="0"/>
      <w:marTop w:val="0"/>
      <w:marBottom w:val="0"/>
      <w:divBdr>
        <w:top w:val="none" w:sz="0" w:space="0" w:color="auto"/>
        <w:left w:val="none" w:sz="0" w:space="0" w:color="auto"/>
        <w:bottom w:val="none" w:sz="0" w:space="0" w:color="auto"/>
        <w:right w:val="none" w:sz="0" w:space="0" w:color="auto"/>
      </w:divBdr>
    </w:div>
    <w:div w:id="128937470">
      <w:bodyDiv w:val="1"/>
      <w:marLeft w:val="0"/>
      <w:marRight w:val="0"/>
      <w:marTop w:val="0"/>
      <w:marBottom w:val="0"/>
      <w:divBdr>
        <w:top w:val="none" w:sz="0" w:space="0" w:color="auto"/>
        <w:left w:val="none" w:sz="0" w:space="0" w:color="auto"/>
        <w:bottom w:val="none" w:sz="0" w:space="0" w:color="auto"/>
        <w:right w:val="none" w:sz="0" w:space="0" w:color="auto"/>
      </w:divBdr>
    </w:div>
    <w:div w:id="129832934">
      <w:bodyDiv w:val="1"/>
      <w:marLeft w:val="0"/>
      <w:marRight w:val="0"/>
      <w:marTop w:val="0"/>
      <w:marBottom w:val="0"/>
      <w:divBdr>
        <w:top w:val="none" w:sz="0" w:space="0" w:color="auto"/>
        <w:left w:val="none" w:sz="0" w:space="0" w:color="auto"/>
        <w:bottom w:val="none" w:sz="0" w:space="0" w:color="auto"/>
        <w:right w:val="none" w:sz="0" w:space="0" w:color="auto"/>
      </w:divBdr>
    </w:div>
    <w:div w:id="132067670">
      <w:bodyDiv w:val="1"/>
      <w:marLeft w:val="0"/>
      <w:marRight w:val="0"/>
      <w:marTop w:val="0"/>
      <w:marBottom w:val="0"/>
      <w:divBdr>
        <w:top w:val="none" w:sz="0" w:space="0" w:color="auto"/>
        <w:left w:val="none" w:sz="0" w:space="0" w:color="auto"/>
        <w:bottom w:val="none" w:sz="0" w:space="0" w:color="auto"/>
        <w:right w:val="none" w:sz="0" w:space="0" w:color="auto"/>
      </w:divBdr>
    </w:div>
    <w:div w:id="135033257">
      <w:bodyDiv w:val="1"/>
      <w:marLeft w:val="0"/>
      <w:marRight w:val="0"/>
      <w:marTop w:val="0"/>
      <w:marBottom w:val="0"/>
      <w:divBdr>
        <w:top w:val="none" w:sz="0" w:space="0" w:color="auto"/>
        <w:left w:val="none" w:sz="0" w:space="0" w:color="auto"/>
        <w:bottom w:val="none" w:sz="0" w:space="0" w:color="auto"/>
        <w:right w:val="none" w:sz="0" w:space="0" w:color="auto"/>
      </w:divBdr>
    </w:div>
    <w:div w:id="143855054">
      <w:bodyDiv w:val="1"/>
      <w:marLeft w:val="0"/>
      <w:marRight w:val="0"/>
      <w:marTop w:val="0"/>
      <w:marBottom w:val="0"/>
      <w:divBdr>
        <w:top w:val="none" w:sz="0" w:space="0" w:color="auto"/>
        <w:left w:val="none" w:sz="0" w:space="0" w:color="auto"/>
        <w:bottom w:val="none" w:sz="0" w:space="0" w:color="auto"/>
        <w:right w:val="none" w:sz="0" w:space="0" w:color="auto"/>
      </w:divBdr>
    </w:div>
    <w:div w:id="147792670">
      <w:bodyDiv w:val="1"/>
      <w:marLeft w:val="0"/>
      <w:marRight w:val="0"/>
      <w:marTop w:val="0"/>
      <w:marBottom w:val="0"/>
      <w:divBdr>
        <w:top w:val="none" w:sz="0" w:space="0" w:color="auto"/>
        <w:left w:val="none" w:sz="0" w:space="0" w:color="auto"/>
        <w:bottom w:val="none" w:sz="0" w:space="0" w:color="auto"/>
        <w:right w:val="none" w:sz="0" w:space="0" w:color="auto"/>
      </w:divBdr>
    </w:div>
    <w:div w:id="149031421">
      <w:bodyDiv w:val="1"/>
      <w:marLeft w:val="0"/>
      <w:marRight w:val="0"/>
      <w:marTop w:val="0"/>
      <w:marBottom w:val="0"/>
      <w:divBdr>
        <w:top w:val="none" w:sz="0" w:space="0" w:color="auto"/>
        <w:left w:val="none" w:sz="0" w:space="0" w:color="auto"/>
        <w:bottom w:val="none" w:sz="0" w:space="0" w:color="auto"/>
        <w:right w:val="none" w:sz="0" w:space="0" w:color="auto"/>
      </w:divBdr>
    </w:div>
    <w:div w:id="149636603">
      <w:bodyDiv w:val="1"/>
      <w:marLeft w:val="0"/>
      <w:marRight w:val="0"/>
      <w:marTop w:val="0"/>
      <w:marBottom w:val="0"/>
      <w:divBdr>
        <w:top w:val="none" w:sz="0" w:space="0" w:color="auto"/>
        <w:left w:val="none" w:sz="0" w:space="0" w:color="auto"/>
        <w:bottom w:val="none" w:sz="0" w:space="0" w:color="auto"/>
        <w:right w:val="none" w:sz="0" w:space="0" w:color="auto"/>
      </w:divBdr>
    </w:div>
    <w:div w:id="160855708">
      <w:bodyDiv w:val="1"/>
      <w:marLeft w:val="0"/>
      <w:marRight w:val="0"/>
      <w:marTop w:val="0"/>
      <w:marBottom w:val="0"/>
      <w:divBdr>
        <w:top w:val="none" w:sz="0" w:space="0" w:color="auto"/>
        <w:left w:val="none" w:sz="0" w:space="0" w:color="auto"/>
        <w:bottom w:val="none" w:sz="0" w:space="0" w:color="auto"/>
        <w:right w:val="none" w:sz="0" w:space="0" w:color="auto"/>
      </w:divBdr>
    </w:div>
    <w:div w:id="169957101">
      <w:bodyDiv w:val="1"/>
      <w:marLeft w:val="0"/>
      <w:marRight w:val="0"/>
      <w:marTop w:val="0"/>
      <w:marBottom w:val="0"/>
      <w:divBdr>
        <w:top w:val="none" w:sz="0" w:space="0" w:color="auto"/>
        <w:left w:val="none" w:sz="0" w:space="0" w:color="auto"/>
        <w:bottom w:val="none" w:sz="0" w:space="0" w:color="auto"/>
        <w:right w:val="none" w:sz="0" w:space="0" w:color="auto"/>
      </w:divBdr>
    </w:div>
    <w:div w:id="171846492">
      <w:bodyDiv w:val="1"/>
      <w:marLeft w:val="0"/>
      <w:marRight w:val="0"/>
      <w:marTop w:val="0"/>
      <w:marBottom w:val="0"/>
      <w:divBdr>
        <w:top w:val="none" w:sz="0" w:space="0" w:color="auto"/>
        <w:left w:val="none" w:sz="0" w:space="0" w:color="auto"/>
        <w:bottom w:val="none" w:sz="0" w:space="0" w:color="auto"/>
        <w:right w:val="none" w:sz="0" w:space="0" w:color="auto"/>
      </w:divBdr>
    </w:div>
    <w:div w:id="176578249">
      <w:bodyDiv w:val="1"/>
      <w:marLeft w:val="0"/>
      <w:marRight w:val="0"/>
      <w:marTop w:val="0"/>
      <w:marBottom w:val="0"/>
      <w:divBdr>
        <w:top w:val="none" w:sz="0" w:space="0" w:color="auto"/>
        <w:left w:val="none" w:sz="0" w:space="0" w:color="auto"/>
        <w:bottom w:val="none" w:sz="0" w:space="0" w:color="auto"/>
        <w:right w:val="none" w:sz="0" w:space="0" w:color="auto"/>
      </w:divBdr>
      <w:divsChild>
        <w:div w:id="1650017478">
          <w:marLeft w:val="0"/>
          <w:marRight w:val="0"/>
          <w:marTop w:val="0"/>
          <w:marBottom w:val="0"/>
          <w:divBdr>
            <w:top w:val="none" w:sz="0" w:space="0" w:color="auto"/>
            <w:left w:val="none" w:sz="0" w:space="0" w:color="auto"/>
            <w:bottom w:val="none" w:sz="0" w:space="0" w:color="auto"/>
            <w:right w:val="none" w:sz="0" w:space="0" w:color="auto"/>
          </w:divBdr>
          <w:divsChild>
            <w:div w:id="204298689">
              <w:marLeft w:val="0"/>
              <w:marRight w:val="0"/>
              <w:marTop w:val="0"/>
              <w:marBottom w:val="0"/>
              <w:divBdr>
                <w:top w:val="none" w:sz="0" w:space="0" w:color="auto"/>
                <w:left w:val="none" w:sz="0" w:space="0" w:color="auto"/>
                <w:bottom w:val="none" w:sz="0" w:space="0" w:color="auto"/>
                <w:right w:val="none" w:sz="0" w:space="0" w:color="auto"/>
              </w:divBdr>
              <w:divsChild>
                <w:div w:id="1589001868">
                  <w:marLeft w:val="0"/>
                  <w:marRight w:val="0"/>
                  <w:marTop w:val="0"/>
                  <w:marBottom w:val="0"/>
                  <w:divBdr>
                    <w:top w:val="none" w:sz="0" w:space="0" w:color="auto"/>
                    <w:left w:val="none" w:sz="0" w:space="0" w:color="auto"/>
                    <w:bottom w:val="none" w:sz="0" w:space="0" w:color="auto"/>
                    <w:right w:val="none" w:sz="0" w:space="0" w:color="auto"/>
                  </w:divBdr>
                  <w:divsChild>
                    <w:div w:id="9768643">
                      <w:marLeft w:val="0"/>
                      <w:marRight w:val="0"/>
                      <w:marTop w:val="0"/>
                      <w:marBottom w:val="0"/>
                      <w:divBdr>
                        <w:top w:val="none" w:sz="0" w:space="0" w:color="auto"/>
                        <w:left w:val="none" w:sz="0" w:space="0" w:color="auto"/>
                        <w:bottom w:val="none" w:sz="0" w:space="0" w:color="auto"/>
                        <w:right w:val="none" w:sz="0" w:space="0" w:color="auto"/>
                      </w:divBdr>
                      <w:divsChild>
                        <w:div w:id="2008970859">
                          <w:marLeft w:val="0"/>
                          <w:marRight w:val="0"/>
                          <w:marTop w:val="0"/>
                          <w:marBottom w:val="0"/>
                          <w:divBdr>
                            <w:top w:val="none" w:sz="0" w:space="0" w:color="auto"/>
                            <w:left w:val="none" w:sz="0" w:space="0" w:color="auto"/>
                            <w:bottom w:val="none" w:sz="0" w:space="0" w:color="auto"/>
                            <w:right w:val="none" w:sz="0" w:space="0" w:color="auto"/>
                          </w:divBdr>
                          <w:divsChild>
                            <w:div w:id="106464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856638">
      <w:bodyDiv w:val="1"/>
      <w:marLeft w:val="0"/>
      <w:marRight w:val="0"/>
      <w:marTop w:val="0"/>
      <w:marBottom w:val="0"/>
      <w:divBdr>
        <w:top w:val="none" w:sz="0" w:space="0" w:color="auto"/>
        <w:left w:val="none" w:sz="0" w:space="0" w:color="auto"/>
        <w:bottom w:val="none" w:sz="0" w:space="0" w:color="auto"/>
        <w:right w:val="none" w:sz="0" w:space="0" w:color="auto"/>
      </w:divBdr>
    </w:div>
    <w:div w:id="193276544">
      <w:bodyDiv w:val="1"/>
      <w:marLeft w:val="0"/>
      <w:marRight w:val="0"/>
      <w:marTop w:val="0"/>
      <w:marBottom w:val="0"/>
      <w:divBdr>
        <w:top w:val="none" w:sz="0" w:space="0" w:color="auto"/>
        <w:left w:val="none" w:sz="0" w:space="0" w:color="auto"/>
        <w:bottom w:val="none" w:sz="0" w:space="0" w:color="auto"/>
        <w:right w:val="none" w:sz="0" w:space="0" w:color="auto"/>
      </w:divBdr>
    </w:div>
    <w:div w:id="210658849">
      <w:bodyDiv w:val="1"/>
      <w:marLeft w:val="0"/>
      <w:marRight w:val="0"/>
      <w:marTop w:val="0"/>
      <w:marBottom w:val="0"/>
      <w:divBdr>
        <w:top w:val="none" w:sz="0" w:space="0" w:color="auto"/>
        <w:left w:val="none" w:sz="0" w:space="0" w:color="auto"/>
        <w:bottom w:val="none" w:sz="0" w:space="0" w:color="auto"/>
        <w:right w:val="none" w:sz="0" w:space="0" w:color="auto"/>
      </w:divBdr>
    </w:div>
    <w:div w:id="213081801">
      <w:bodyDiv w:val="1"/>
      <w:marLeft w:val="0"/>
      <w:marRight w:val="0"/>
      <w:marTop w:val="0"/>
      <w:marBottom w:val="0"/>
      <w:divBdr>
        <w:top w:val="none" w:sz="0" w:space="0" w:color="auto"/>
        <w:left w:val="none" w:sz="0" w:space="0" w:color="auto"/>
        <w:bottom w:val="none" w:sz="0" w:space="0" w:color="auto"/>
        <w:right w:val="none" w:sz="0" w:space="0" w:color="auto"/>
      </w:divBdr>
    </w:div>
    <w:div w:id="218907909">
      <w:bodyDiv w:val="1"/>
      <w:marLeft w:val="0"/>
      <w:marRight w:val="0"/>
      <w:marTop w:val="0"/>
      <w:marBottom w:val="0"/>
      <w:divBdr>
        <w:top w:val="none" w:sz="0" w:space="0" w:color="auto"/>
        <w:left w:val="none" w:sz="0" w:space="0" w:color="auto"/>
        <w:bottom w:val="none" w:sz="0" w:space="0" w:color="auto"/>
        <w:right w:val="none" w:sz="0" w:space="0" w:color="auto"/>
      </w:divBdr>
      <w:divsChild>
        <w:div w:id="1796410316">
          <w:marLeft w:val="0"/>
          <w:marRight w:val="0"/>
          <w:marTop w:val="0"/>
          <w:marBottom w:val="0"/>
          <w:divBdr>
            <w:top w:val="none" w:sz="0" w:space="0" w:color="auto"/>
            <w:left w:val="none" w:sz="0" w:space="0" w:color="auto"/>
            <w:bottom w:val="none" w:sz="0" w:space="0" w:color="auto"/>
            <w:right w:val="none" w:sz="0" w:space="0" w:color="auto"/>
          </w:divBdr>
          <w:divsChild>
            <w:div w:id="1391923961">
              <w:marLeft w:val="0"/>
              <w:marRight w:val="0"/>
              <w:marTop w:val="0"/>
              <w:marBottom w:val="0"/>
              <w:divBdr>
                <w:top w:val="none" w:sz="0" w:space="0" w:color="auto"/>
                <w:left w:val="none" w:sz="0" w:space="0" w:color="auto"/>
                <w:bottom w:val="none" w:sz="0" w:space="0" w:color="auto"/>
                <w:right w:val="none" w:sz="0" w:space="0" w:color="auto"/>
              </w:divBdr>
              <w:divsChild>
                <w:div w:id="1823347635">
                  <w:marLeft w:val="0"/>
                  <w:marRight w:val="0"/>
                  <w:marTop w:val="0"/>
                  <w:marBottom w:val="0"/>
                  <w:divBdr>
                    <w:top w:val="none" w:sz="0" w:space="0" w:color="auto"/>
                    <w:left w:val="none" w:sz="0" w:space="0" w:color="auto"/>
                    <w:bottom w:val="none" w:sz="0" w:space="0" w:color="auto"/>
                    <w:right w:val="none" w:sz="0" w:space="0" w:color="auto"/>
                  </w:divBdr>
                  <w:divsChild>
                    <w:div w:id="534735922">
                      <w:marLeft w:val="0"/>
                      <w:marRight w:val="0"/>
                      <w:marTop w:val="0"/>
                      <w:marBottom w:val="0"/>
                      <w:divBdr>
                        <w:top w:val="none" w:sz="0" w:space="0" w:color="auto"/>
                        <w:left w:val="none" w:sz="0" w:space="0" w:color="auto"/>
                        <w:bottom w:val="none" w:sz="0" w:space="0" w:color="auto"/>
                        <w:right w:val="none" w:sz="0" w:space="0" w:color="auto"/>
                      </w:divBdr>
                      <w:divsChild>
                        <w:div w:id="2062436635">
                          <w:marLeft w:val="0"/>
                          <w:marRight w:val="0"/>
                          <w:marTop w:val="0"/>
                          <w:marBottom w:val="0"/>
                          <w:divBdr>
                            <w:top w:val="none" w:sz="0" w:space="0" w:color="auto"/>
                            <w:left w:val="none" w:sz="0" w:space="0" w:color="auto"/>
                            <w:bottom w:val="none" w:sz="0" w:space="0" w:color="auto"/>
                            <w:right w:val="none" w:sz="0" w:space="0" w:color="auto"/>
                          </w:divBdr>
                          <w:divsChild>
                            <w:div w:id="84590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0598823">
      <w:bodyDiv w:val="1"/>
      <w:marLeft w:val="0"/>
      <w:marRight w:val="0"/>
      <w:marTop w:val="0"/>
      <w:marBottom w:val="0"/>
      <w:divBdr>
        <w:top w:val="none" w:sz="0" w:space="0" w:color="auto"/>
        <w:left w:val="none" w:sz="0" w:space="0" w:color="auto"/>
        <w:bottom w:val="none" w:sz="0" w:space="0" w:color="auto"/>
        <w:right w:val="none" w:sz="0" w:space="0" w:color="auto"/>
      </w:divBdr>
    </w:div>
    <w:div w:id="235552129">
      <w:bodyDiv w:val="1"/>
      <w:marLeft w:val="0"/>
      <w:marRight w:val="0"/>
      <w:marTop w:val="0"/>
      <w:marBottom w:val="0"/>
      <w:divBdr>
        <w:top w:val="none" w:sz="0" w:space="0" w:color="auto"/>
        <w:left w:val="none" w:sz="0" w:space="0" w:color="auto"/>
        <w:bottom w:val="none" w:sz="0" w:space="0" w:color="auto"/>
        <w:right w:val="none" w:sz="0" w:space="0" w:color="auto"/>
      </w:divBdr>
    </w:div>
    <w:div w:id="245966584">
      <w:bodyDiv w:val="1"/>
      <w:marLeft w:val="0"/>
      <w:marRight w:val="0"/>
      <w:marTop w:val="0"/>
      <w:marBottom w:val="0"/>
      <w:divBdr>
        <w:top w:val="none" w:sz="0" w:space="0" w:color="auto"/>
        <w:left w:val="none" w:sz="0" w:space="0" w:color="auto"/>
        <w:bottom w:val="none" w:sz="0" w:space="0" w:color="auto"/>
        <w:right w:val="none" w:sz="0" w:space="0" w:color="auto"/>
      </w:divBdr>
    </w:div>
    <w:div w:id="247815626">
      <w:bodyDiv w:val="1"/>
      <w:marLeft w:val="0"/>
      <w:marRight w:val="0"/>
      <w:marTop w:val="0"/>
      <w:marBottom w:val="0"/>
      <w:divBdr>
        <w:top w:val="none" w:sz="0" w:space="0" w:color="auto"/>
        <w:left w:val="none" w:sz="0" w:space="0" w:color="auto"/>
        <w:bottom w:val="none" w:sz="0" w:space="0" w:color="auto"/>
        <w:right w:val="none" w:sz="0" w:space="0" w:color="auto"/>
      </w:divBdr>
    </w:div>
    <w:div w:id="249238026">
      <w:bodyDiv w:val="1"/>
      <w:marLeft w:val="0"/>
      <w:marRight w:val="0"/>
      <w:marTop w:val="0"/>
      <w:marBottom w:val="0"/>
      <w:divBdr>
        <w:top w:val="none" w:sz="0" w:space="0" w:color="auto"/>
        <w:left w:val="none" w:sz="0" w:space="0" w:color="auto"/>
        <w:bottom w:val="none" w:sz="0" w:space="0" w:color="auto"/>
        <w:right w:val="none" w:sz="0" w:space="0" w:color="auto"/>
      </w:divBdr>
    </w:div>
    <w:div w:id="250240392">
      <w:bodyDiv w:val="1"/>
      <w:marLeft w:val="0"/>
      <w:marRight w:val="0"/>
      <w:marTop w:val="0"/>
      <w:marBottom w:val="0"/>
      <w:divBdr>
        <w:top w:val="none" w:sz="0" w:space="0" w:color="auto"/>
        <w:left w:val="none" w:sz="0" w:space="0" w:color="auto"/>
        <w:bottom w:val="none" w:sz="0" w:space="0" w:color="auto"/>
        <w:right w:val="none" w:sz="0" w:space="0" w:color="auto"/>
      </w:divBdr>
    </w:div>
    <w:div w:id="257719586">
      <w:bodyDiv w:val="1"/>
      <w:marLeft w:val="0"/>
      <w:marRight w:val="0"/>
      <w:marTop w:val="0"/>
      <w:marBottom w:val="0"/>
      <w:divBdr>
        <w:top w:val="none" w:sz="0" w:space="0" w:color="auto"/>
        <w:left w:val="none" w:sz="0" w:space="0" w:color="auto"/>
        <w:bottom w:val="none" w:sz="0" w:space="0" w:color="auto"/>
        <w:right w:val="none" w:sz="0" w:space="0" w:color="auto"/>
      </w:divBdr>
    </w:div>
    <w:div w:id="263197198">
      <w:bodyDiv w:val="1"/>
      <w:marLeft w:val="0"/>
      <w:marRight w:val="0"/>
      <w:marTop w:val="0"/>
      <w:marBottom w:val="0"/>
      <w:divBdr>
        <w:top w:val="none" w:sz="0" w:space="0" w:color="auto"/>
        <w:left w:val="none" w:sz="0" w:space="0" w:color="auto"/>
        <w:bottom w:val="none" w:sz="0" w:space="0" w:color="auto"/>
        <w:right w:val="none" w:sz="0" w:space="0" w:color="auto"/>
      </w:divBdr>
    </w:div>
    <w:div w:id="268859632">
      <w:bodyDiv w:val="1"/>
      <w:marLeft w:val="0"/>
      <w:marRight w:val="0"/>
      <w:marTop w:val="0"/>
      <w:marBottom w:val="0"/>
      <w:divBdr>
        <w:top w:val="none" w:sz="0" w:space="0" w:color="auto"/>
        <w:left w:val="none" w:sz="0" w:space="0" w:color="auto"/>
        <w:bottom w:val="none" w:sz="0" w:space="0" w:color="auto"/>
        <w:right w:val="none" w:sz="0" w:space="0" w:color="auto"/>
      </w:divBdr>
    </w:div>
    <w:div w:id="273633368">
      <w:bodyDiv w:val="1"/>
      <w:marLeft w:val="0"/>
      <w:marRight w:val="0"/>
      <w:marTop w:val="0"/>
      <w:marBottom w:val="0"/>
      <w:divBdr>
        <w:top w:val="none" w:sz="0" w:space="0" w:color="auto"/>
        <w:left w:val="none" w:sz="0" w:space="0" w:color="auto"/>
        <w:bottom w:val="none" w:sz="0" w:space="0" w:color="auto"/>
        <w:right w:val="none" w:sz="0" w:space="0" w:color="auto"/>
      </w:divBdr>
    </w:div>
    <w:div w:id="276299926">
      <w:bodyDiv w:val="1"/>
      <w:marLeft w:val="0"/>
      <w:marRight w:val="0"/>
      <w:marTop w:val="0"/>
      <w:marBottom w:val="0"/>
      <w:divBdr>
        <w:top w:val="none" w:sz="0" w:space="0" w:color="auto"/>
        <w:left w:val="none" w:sz="0" w:space="0" w:color="auto"/>
        <w:bottom w:val="none" w:sz="0" w:space="0" w:color="auto"/>
        <w:right w:val="none" w:sz="0" w:space="0" w:color="auto"/>
      </w:divBdr>
    </w:div>
    <w:div w:id="292709042">
      <w:bodyDiv w:val="1"/>
      <w:marLeft w:val="0"/>
      <w:marRight w:val="0"/>
      <w:marTop w:val="0"/>
      <w:marBottom w:val="0"/>
      <w:divBdr>
        <w:top w:val="none" w:sz="0" w:space="0" w:color="auto"/>
        <w:left w:val="none" w:sz="0" w:space="0" w:color="auto"/>
        <w:bottom w:val="none" w:sz="0" w:space="0" w:color="auto"/>
        <w:right w:val="none" w:sz="0" w:space="0" w:color="auto"/>
      </w:divBdr>
    </w:div>
    <w:div w:id="298540704">
      <w:bodyDiv w:val="1"/>
      <w:marLeft w:val="0"/>
      <w:marRight w:val="0"/>
      <w:marTop w:val="0"/>
      <w:marBottom w:val="0"/>
      <w:divBdr>
        <w:top w:val="none" w:sz="0" w:space="0" w:color="auto"/>
        <w:left w:val="none" w:sz="0" w:space="0" w:color="auto"/>
        <w:bottom w:val="none" w:sz="0" w:space="0" w:color="auto"/>
        <w:right w:val="none" w:sz="0" w:space="0" w:color="auto"/>
      </w:divBdr>
    </w:div>
    <w:div w:id="299919905">
      <w:bodyDiv w:val="1"/>
      <w:marLeft w:val="0"/>
      <w:marRight w:val="0"/>
      <w:marTop w:val="0"/>
      <w:marBottom w:val="0"/>
      <w:divBdr>
        <w:top w:val="none" w:sz="0" w:space="0" w:color="auto"/>
        <w:left w:val="none" w:sz="0" w:space="0" w:color="auto"/>
        <w:bottom w:val="none" w:sz="0" w:space="0" w:color="auto"/>
        <w:right w:val="none" w:sz="0" w:space="0" w:color="auto"/>
      </w:divBdr>
    </w:div>
    <w:div w:id="300769992">
      <w:bodyDiv w:val="1"/>
      <w:marLeft w:val="0"/>
      <w:marRight w:val="0"/>
      <w:marTop w:val="0"/>
      <w:marBottom w:val="0"/>
      <w:divBdr>
        <w:top w:val="none" w:sz="0" w:space="0" w:color="auto"/>
        <w:left w:val="none" w:sz="0" w:space="0" w:color="auto"/>
        <w:bottom w:val="none" w:sz="0" w:space="0" w:color="auto"/>
        <w:right w:val="none" w:sz="0" w:space="0" w:color="auto"/>
      </w:divBdr>
    </w:div>
    <w:div w:id="314146080">
      <w:bodyDiv w:val="1"/>
      <w:marLeft w:val="0"/>
      <w:marRight w:val="0"/>
      <w:marTop w:val="0"/>
      <w:marBottom w:val="0"/>
      <w:divBdr>
        <w:top w:val="none" w:sz="0" w:space="0" w:color="auto"/>
        <w:left w:val="none" w:sz="0" w:space="0" w:color="auto"/>
        <w:bottom w:val="none" w:sz="0" w:space="0" w:color="auto"/>
        <w:right w:val="none" w:sz="0" w:space="0" w:color="auto"/>
      </w:divBdr>
    </w:div>
    <w:div w:id="324404217">
      <w:bodyDiv w:val="1"/>
      <w:marLeft w:val="0"/>
      <w:marRight w:val="0"/>
      <w:marTop w:val="0"/>
      <w:marBottom w:val="0"/>
      <w:divBdr>
        <w:top w:val="none" w:sz="0" w:space="0" w:color="auto"/>
        <w:left w:val="none" w:sz="0" w:space="0" w:color="auto"/>
        <w:bottom w:val="none" w:sz="0" w:space="0" w:color="auto"/>
        <w:right w:val="none" w:sz="0" w:space="0" w:color="auto"/>
      </w:divBdr>
    </w:div>
    <w:div w:id="326977164">
      <w:bodyDiv w:val="1"/>
      <w:marLeft w:val="0"/>
      <w:marRight w:val="0"/>
      <w:marTop w:val="0"/>
      <w:marBottom w:val="0"/>
      <w:divBdr>
        <w:top w:val="none" w:sz="0" w:space="0" w:color="auto"/>
        <w:left w:val="none" w:sz="0" w:space="0" w:color="auto"/>
        <w:bottom w:val="none" w:sz="0" w:space="0" w:color="auto"/>
        <w:right w:val="none" w:sz="0" w:space="0" w:color="auto"/>
      </w:divBdr>
    </w:div>
    <w:div w:id="328564487">
      <w:bodyDiv w:val="1"/>
      <w:marLeft w:val="0"/>
      <w:marRight w:val="0"/>
      <w:marTop w:val="0"/>
      <w:marBottom w:val="0"/>
      <w:divBdr>
        <w:top w:val="none" w:sz="0" w:space="0" w:color="auto"/>
        <w:left w:val="none" w:sz="0" w:space="0" w:color="auto"/>
        <w:bottom w:val="none" w:sz="0" w:space="0" w:color="auto"/>
        <w:right w:val="none" w:sz="0" w:space="0" w:color="auto"/>
      </w:divBdr>
    </w:div>
    <w:div w:id="333147390">
      <w:bodyDiv w:val="1"/>
      <w:marLeft w:val="0"/>
      <w:marRight w:val="0"/>
      <w:marTop w:val="0"/>
      <w:marBottom w:val="0"/>
      <w:divBdr>
        <w:top w:val="none" w:sz="0" w:space="0" w:color="auto"/>
        <w:left w:val="none" w:sz="0" w:space="0" w:color="auto"/>
        <w:bottom w:val="none" w:sz="0" w:space="0" w:color="auto"/>
        <w:right w:val="none" w:sz="0" w:space="0" w:color="auto"/>
      </w:divBdr>
    </w:div>
    <w:div w:id="340008292">
      <w:bodyDiv w:val="1"/>
      <w:marLeft w:val="0"/>
      <w:marRight w:val="0"/>
      <w:marTop w:val="0"/>
      <w:marBottom w:val="0"/>
      <w:divBdr>
        <w:top w:val="none" w:sz="0" w:space="0" w:color="auto"/>
        <w:left w:val="none" w:sz="0" w:space="0" w:color="auto"/>
        <w:bottom w:val="none" w:sz="0" w:space="0" w:color="auto"/>
        <w:right w:val="none" w:sz="0" w:space="0" w:color="auto"/>
      </w:divBdr>
    </w:div>
    <w:div w:id="343361815">
      <w:bodyDiv w:val="1"/>
      <w:marLeft w:val="0"/>
      <w:marRight w:val="0"/>
      <w:marTop w:val="0"/>
      <w:marBottom w:val="0"/>
      <w:divBdr>
        <w:top w:val="none" w:sz="0" w:space="0" w:color="auto"/>
        <w:left w:val="none" w:sz="0" w:space="0" w:color="auto"/>
        <w:bottom w:val="none" w:sz="0" w:space="0" w:color="auto"/>
        <w:right w:val="none" w:sz="0" w:space="0" w:color="auto"/>
      </w:divBdr>
    </w:div>
    <w:div w:id="346634696">
      <w:bodyDiv w:val="1"/>
      <w:marLeft w:val="0"/>
      <w:marRight w:val="0"/>
      <w:marTop w:val="0"/>
      <w:marBottom w:val="0"/>
      <w:divBdr>
        <w:top w:val="none" w:sz="0" w:space="0" w:color="auto"/>
        <w:left w:val="none" w:sz="0" w:space="0" w:color="auto"/>
        <w:bottom w:val="none" w:sz="0" w:space="0" w:color="auto"/>
        <w:right w:val="none" w:sz="0" w:space="0" w:color="auto"/>
      </w:divBdr>
    </w:div>
    <w:div w:id="352725988">
      <w:bodyDiv w:val="1"/>
      <w:marLeft w:val="0"/>
      <w:marRight w:val="0"/>
      <w:marTop w:val="0"/>
      <w:marBottom w:val="0"/>
      <w:divBdr>
        <w:top w:val="none" w:sz="0" w:space="0" w:color="auto"/>
        <w:left w:val="none" w:sz="0" w:space="0" w:color="auto"/>
        <w:bottom w:val="none" w:sz="0" w:space="0" w:color="auto"/>
        <w:right w:val="none" w:sz="0" w:space="0" w:color="auto"/>
      </w:divBdr>
    </w:div>
    <w:div w:id="353961684">
      <w:bodyDiv w:val="1"/>
      <w:marLeft w:val="0"/>
      <w:marRight w:val="0"/>
      <w:marTop w:val="0"/>
      <w:marBottom w:val="0"/>
      <w:divBdr>
        <w:top w:val="none" w:sz="0" w:space="0" w:color="auto"/>
        <w:left w:val="none" w:sz="0" w:space="0" w:color="auto"/>
        <w:bottom w:val="none" w:sz="0" w:space="0" w:color="auto"/>
        <w:right w:val="none" w:sz="0" w:space="0" w:color="auto"/>
      </w:divBdr>
    </w:div>
    <w:div w:id="362898864">
      <w:bodyDiv w:val="1"/>
      <w:marLeft w:val="0"/>
      <w:marRight w:val="0"/>
      <w:marTop w:val="0"/>
      <w:marBottom w:val="0"/>
      <w:divBdr>
        <w:top w:val="none" w:sz="0" w:space="0" w:color="auto"/>
        <w:left w:val="none" w:sz="0" w:space="0" w:color="auto"/>
        <w:bottom w:val="none" w:sz="0" w:space="0" w:color="auto"/>
        <w:right w:val="none" w:sz="0" w:space="0" w:color="auto"/>
      </w:divBdr>
    </w:div>
    <w:div w:id="362901250">
      <w:bodyDiv w:val="1"/>
      <w:marLeft w:val="0"/>
      <w:marRight w:val="0"/>
      <w:marTop w:val="0"/>
      <w:marBottom w:val="0"/>
      <w:divBdr>
        <w:top w:val="none" w:sz="0" w:space="0" w:color="auto"/>
        <w:left w:val="none" w:sz="0" w:space="0" w:color="auto"/>
        <w:bottom w:val="none" w:sz="0" w:space="0" w:color="auto"/>
        <w:right w:val="none" w:sz="0" w:space="0" w:color="auto"/>
      </w:divBdr>
    </w:div>
    <w:div w:id="369110292">
      <w:bodyDiv w:val="1"/>
      <w:marLeft w:val="0"/>
      <w:marRight w:val="0"/>
      <w:marTop w:val="0"/>
      <w:marBottom w:val="0"/>
      <w:divBdr>
        <w:top w:val="none" w:sz="0" w:space="0" w:color="auto"/>
        <w:left w:val="none" w:sz="0" w:space="0" w:color="auto"/>
        <w:bottom w:val="none" w:sz="0" w:space="0" w:color="auto"/>
        <w:right w:val="none" w:sz="0" w:space="0" w:color="auto"/>
      </w:divBdr>
    </w:div>
    <w:div w:id="375080330">
      <w:bodyDiv w:val="1"/>
      <w:marLeft w:val="0"/>
      <w:marRight w:val="0"/>
      <w:marTop w:val="0"/>
      <w:marBottom w:val="0"/>
      <w:divBdr>
        <w:top w:val="none" w:sz="0" w:space="0" w:color="auto"/>
        <w:left w:val="none" w:sz="0" w:space="0" w:color="auto"/>
        <w:bottom w:val="none" w:sz="0" w:space="0" w:color="auto"/>
        <w:right w:val="none" w:sz="0" w:space="0" w:color="auto"/>
      </w:divBdr>
    </w:div>
    <w:div w:id="375588184">
      <w:bodyDiv w:val="1"/>
      <w:marLeft w:val="0"/>
      <w:marRight w:val="0"/>
      <w:marTop w:val="0"/>
      <w:marBottom w:val="0"/>
      <w:divBdr>
        <w:top w:val="none" w:sz="0" w:space="0" w:color="auto"/>
        <w:left w:val="none" w:sz="0" w:space="0" w:color="auto"/>
        <w:bottom w:val="none" w:sz="0" w:space="0" w:color="auto"/>
        <w:right w:val="none" w:sz="0" w:space="0" w:color="auto"/>
      </w:divBdr>
    </w:div>
    <w:div w:id="375854357">
      <w:bodyDiv w:val="1"/>
      <w:marLeft w:val="0"/>
      <w:marRight w:val="0"/>
      <w:marTop w:val="0"/>
      <w:marBottom w:val="0"/>
      <w:divBdr>
        <w:top w:val="none" w:sz="0" w:space="0" w:color="auto"/>
        <w:left w:val="none" w:sz="0" w:space="0" w:color="auto"/>
        <w:bottom w:val="none" w:sz="0" w:space="0" w:color="auto"/>
        <w:right w:val="none" w:sz="0" w:space="0" w:color="auto"/>
      </w:divBdr>
    </w:div>
    <w:div w:id="377511083">
      <w:bodyDiv w:val="1"/>
      <w:marLeft w:val="0"/>
      <w:marRight w:val="0"/>
      <w:marTop w:val="0"/>
      <w:marBottom w:val="0"/>
      <w:divBdr>
        <w:top w:val="none" w:sz="0" w:space="0" w:color="auto"/>
        <w:left w:val="none" w:sz="0" w:space="0" w:color="auto"/>
        <w:bottom w:val="none" w:sz="0" w:space="0" w:color="auto"/>
        <w:right w:val="none" w:sz="0" w:space="0" w:color="auto"/>
      </w:divBdr>
    </w:div>
    <w:div w:id="377973878">
      <w:bodyDiv w:val="1"/>
      <w:marLeft w:val="0"/>
      <w:marRight w:val="0"/>
      <w:marTop w:val="0"/>
      <w:marBottom w:val="0"/>
      <w:divBdr>
        <w:top w:val="none" w:sz="0" w:space="0" w:color="auto"/>
        <w:left w:val="none" w:sz="0" w:space="0" w:color="auto"/>
        <w:bottom w:val="none" w:sz="0" w:space="0" w:color="auto"/>
        <w:right w:val="none" w:sz="0" w:space="0" w:color="auto"/>
      </w:divBdr>
    </w:div>
    <w:div w:id="383529130">
      <w:bodyDiv w:val="1"/>
      <w:marLeft w:val="0"/>
      <w:marRight w:val="0"/>
      <w:marTop w:val="0"/>
      <w:marBottom w:val="0"/>
      <w:divBdr>
        <w:top w:val="none" w:sz="0" w:space="0" w:color="auto"/>
        <w:left w:val="none" w:sz="0" w:space="0" w:color="auto"/>
        <w:bottom w:val="none" w:sz="0" w:space="0" w:color="auto"/>
        <w:right w:val="none" w:sz="0" w:space="0" w:color="auto"/>
      </w:divBdr>
    </w:div>
    <w:div w:id="384838582">
      <w:bodyDiv w:val="1"/>
      <w:marLeft w:val="0"/>
      <w:marRight w:val="0"/>
      <w:marTop w:val="0"/>
      <w:marBottom w:val="0"/>
      <w:divBdr>
        <w:top w:val="none" w:sz="0" w:space="0" w:color="auto"/>
        <w:left w:val="none" w:sz="0" w:space="0" w:color="auto"/>
        <w:bottom w:val="none" w:sz="0" w:space="0" w:color="auto"/>
        <w:right w:val="none" w:sz="0" w:space="0" w:color="auto"/>
      </w:divBdr>
    </w:div>
    <w:div w:id="386997386">
      <w:bodyDiv w:val="1"/>
      <w:marLeft w:val="0"/>
      <w:marRight w:val="0"/>
      <w:marTop w:val="0"/>
      <w:marBottom w:val="0"/>
      <w:divBdr>
        <w:top w:val="none" w:sz="0" w:space="0" w:color="auto"/>
        <w:left w:val="none" w:sz="0" w:space="0" w:color="auto"/>
        <w:bottom w:val="none" w:sz="0" w:space="0" w:color="auto"/>
        <w:right w:val="none" w:sz="0" w:space="0" w:color="auto"/>
      </w:divBdr>
    </w:div>
    <w:div w:id="390037398">
      <w:bodyDiv w:val="1"/>
      <w:marLeft w:val="0"/>
      <w:marRight w:val="0"/>
      <w:marTop w:val="0"/>
      <w:marBottom w:val="0"/>
      <w:divBdr>
        <w:top w:val="none" w:sz="0" w:space="0" w:color="auto"/>
        <w:left w:val="none" w:sz="0" w:space="0" w:color="auto"/>
        <w:bottom w:val="none" w:sz="0" w:space="0" w:color="auto"/>
        <w:right w:val="none" w:sz="0" w:space="0" w:color="auto"/>
      </w:divBdr>
    </w:div>
    <w:div w:id="394157838">
      <w:bodyDiv w:val="1"/>
      <w:marLeft w:val="0"/>
      <w:marRight w:val="0"/>
      <w:marTop w:val="0"/>
      <w:marBottom w:val="0"/>
      <w:divBdr>
        <w:top w:val="none" w:sz="0" w:space="0" w:color="auto"/>
        <w:left w:val="none" w:sz="0" w:space="0" w:color="auto"/>
        <w:bottom w:val="none" w:sz="0" w:space="0" w:color="auto"/>
        <w:right w:val="none" w:sz="0" w:space="0" w:color="auto"/>
      </w:divBdr>
    </w:div>
    <w:div w:id="400831782">
      <w:bodyDiv w:val="1"/>
      <w:marLeft w:val="0"/>
      <w:marRight w:val="0"/>
      <w:marTop w:val="0"/>
      <w:marBottom w:val="0"/>
      <w:divBdr>
        <w:top w:val="none" w:sz="0" w:space="0" w:color="auto"/>
        <w:left w:val="none" w:sz="0" w:space="0" w:color="auto"/>
        <w:bottom w:val="none" w:sz="0" w:space="0" w:color="auto"/>
        <w:right w:val="none" w:sz="0" w:space="0" w:color="auto"/>
      </w:divBdr>
    </w:div>
    <w:div w:id="403457297">
      <w:bodyDiv w:val="1"/>
      <w:marLeft w:val="0"/>
      <w:marRight w:val="0"/>
      <w:marTop w:val="0"/>
      <w:marBottom w:val="0"/>
      <w:divBdr>
        <w:top w:val="none" w:sz="0" w:space="0" w:color="auto"/>
        <w:left w:val="none" w:sz="0" w:space="0" w:color="auto"/>
        <w:bottom w:val="none" w:sz="0" w:space="0" w:color="auto"/>
        <w:right w:val="none" w:sz="0" w:space="0" w:color="auto"/>
      </w:divBdr>
    </w:div>
    <w:div w:id="404379656">
      <w:bodyDiv w:val="1"/>
      <w:marLeft w:val="0"/>
      <w:marRight w:val="0"/>
      <w:marTop w:val="0"/>
      <w:marBottom w:val="0"/>
      <w:divBdr>
        <w:top w:val="none" w:sz="0" w:space="0" w:color="auto"/>
        <w:left w:val="none" w:sz="0" w:space="0" w:color="auto"/>
        <w:bottom w:val="none" w:sz="0" w:space="0" w:color="auto"/>
        <w:right w:val="none" w:sz="0" w:space="0" w:color="auto"/>
      </w:divBdr>
    </w:div>
    <w:div w:id="408893285">
      <w:bodyDiv w:val="1"/>
      <w:marLeft w:val="0"/>
      <w:marRight w:val="0"/>
      <w:marTop w:val="0"/>
      <w:marBottom w:val="0"/>
      <w:divBdr>
        <w:top w:val="none" w:sz="0" w:space="0" w:color="auto"/>
        <w:left w:val="none" w:sz="0" w:space="0" w:color="auto"/>
        <w:bottom w:val="none" w:sz="0" w:space="0" w:color="auto"/>
        <w:right w:val="none" w:sz="0" w:space="0" w:color="auto"/>
      </w:divBdr>
    </w:div>
    <w:div w:id="420295783">
      <w:bodyDiv w:val="1"/>
      <w:marLeft w:val="0"/>
      <w:marRight w:val="0"/>
      <w:marTop w:val="0"/>
      <w:marBottom w:val="0"/>
      <w:divBdr>
        <w:top w:val="none" w:sz="0" w:space="0" w:color="auto"/>
        <w:left w:val="none" w:sz="0" w:space="0" w:color="auto"/>
        <w:bottom w:val="none" w:sz="0" w:space="0" w:color="auto"/>
        <w:right w:val="none" w:sz="0" w:space="0" w:color="auto"/>
      </w:divBdr>
    </w:div>
    <w:div w:id="420570587">
      <w:bodyDiv w:val="1"/>
      <w:marLeft w:val="0"/>
      <w:marRight w:val="0"/>
      <w:marTop w:val="0"/>
      <w:marBottom w:val="0"/>
      <w:divBdr>
        <w:top w:val="none" w:sz="0" w:space="0" w:color="auto"/>
        <w:left w:val="none" w:sz="0" w:space="0" w:color="auto"/>
        <w:bottom w:val="none" w:sz="0" w:space="0" w:color="auto"/>
        <w:right w:val="none" w:sz="0" w:space="0" w:color="auto"/>
      </w:divBdr>
    </w:div>
    <w:div w:id="443037768">
      <w:bodyDiv w:val="1"/>
      <w:marLeft w:val="0"/>
      <w:marRight w:val="0"/>
      <w:marTop w:val="0"/>
      <w:marBottom w:val="0"/>
      <w:divBdr>
        <w:top w:val="none" w:sz="0" w:space="0" w:color="auto"/>
        <w:left w:val="none" w:sz="0" w:space="0" w:color="auto"/>
        <w:bottom w:val="none" w:sz="0" w:space="0" w:color="auto"/>
        <w:right w:val="none" w:sz="0" w:space="0" w:color="auto"/>
      </w:divBdr>
    </w:div>
    <w:div w:id="443500343">
      <w:bodyDiv w:val="1"/>
      <w:marLeft w:val="0"/>
      <w:marRight w:val="0"/>
      <w:marTop w:val="0"/>
      <w:marBottom w:val="0"/>
      <w:divBdr>
        <w:top w:val="none" w:sz="0" w:space="0" w:color="auto"/>
        <w:left w:val="none" w:sz="0" w:space="0" w:color="auto"/>
        <w:bottom w:val="none" w:sz="0" w:space="0" w:color="auto"/>
        <w:right w:val="none" w:sz="0" w:space="0" w:color="auto"/>
      </w:divBdr>
    </w:div>
    <w:div w:id="445270555">
      <w:bodyDiv w:val="1"/>
      <w:marLeft w:val="0"/>
      <w:marRight w:val="0"/>
      <w:marTop w:val="0"/>
      <w:marBottom w:val="0"/>
      <w:divBdr>
        <w:top w:val="none" w:sz="0" w:space="0" w:color="auto"/>
        <w:left w:val="none" w:sz="0" w:space="0" w:color="auto"/>
        <w:bottom w:val="none" w:sz="0" w:space="0" w:color="auto"/>
        <w:right w:val="none" w:sz="0" w:space="0" w:color="auto"/>
      </w:divBdr>
    </w:div>
    <w:div w:id="447165905">
      <w:bodyDiv w:val="1"/>
      <w:marLeft w:val="0"/>
      <w:marRight w:val="0"/>
      <w:marTop w:val="0"/>
      <w:marBottom w:val="0"/>
      <w:divBdr>
        <w:top w:val="none" w:sz="0" w:space="0" w:color="auto"/>
        <w:left w:val="none" w:sz="0" w:space="0" w:color="auto"/>
        <w:bottom w:val="none" w:sz="0" w:space="0" w:color="auto"/>
        <w:right w:val="none" w:sz="0" w:space="0" w:color="auto"/>
      </w:divBdr>
    </w:div>
    <w:div w:id="447623331">
      <w:bodyDiv w:val="1"/>
      <w:marLeft w:val="0"/>
      <w:marRight w:val="0"/>
      <w:marTop w:val="0"/>
      <w:marBottom w:val="0"/>
      <w:divBdr>
        <w:top w:val="none" w:sz="0" w:space="0" w:color="auto"/>
        <w:left w:val="none" w:sz="0" w:space="0" w:color="auto"/>
        <w:bottom w:val="none" w:sz="0" w:space="0" w:color="auto"/>
        <w:right w:val="none" w:sz="0" w:space="0" w:color="auto"/>
      </w:divBdr>
    </w:div>
    <w:div w:id="453401766">
      <w:bodyDiv w:val="1"/>
      <w:marLeft w:val="0"/>
      <w:marRight w:val="0"/>
      <w:marTop w:val="0"/>
      <w:marBottom w:val="0"/>
      <w:divBdr>
        <w:top w:val="none" w:sz="0" w:space="0" w:color="auto"/>
        <w:left w:val="none" w:sz="0" w:space="0" w:color="auto"/>
        <w:bottom w:val="none" w:sz="0" w:space="0" w:color="auto"/>
        <w:right w:val="none" w:sz="0" w:space="0" w:color="auto"/>
      </w:divBdr>
    </w:div>
    <w:div w:id="458498985">
      <w:bodyDiv w:val="1"/>
      <w:marLeft w:val="0"/>
      <w:marRight w:val="0"/>
      <w:marTop w:val="0"/>
      <w:marBottom w:val="0"/>
      <w:divBdr>
        <w:top w:val="none" w:sz="0" w:space="0" w:color="auto"/>
        <w:left w:val="none" w:sz="0" w:space="0" w:color="auto"/>
        <w:bottom w:val="none" w:sz="0" w:space="0" w:color="auto"/>
        <w:right w:val="none" w:sz="0" w:space="0" w:color="auto"/>
      </w:divBdr>
    </w:div>
    <w:div w:id="473301767">
      <w:bodyDiv w:val="1"/>
      <w:marLeft w:val="0"/>
      <w:marRight w:val="0"/>
      <w:marTop w:val="0"/>
      <w:marBottom w:val="0"/>
      <w:divBdr>
        <w:top w:val="none" w:sz="0" w:space="0" w:color="auto"/>
        <w:left w:val="none" w:sz="0" w:space="0" w:color="auto"/>
        <w:bottom w:val="none" w:sz="0" w:space="0" w:color="auto"/>
        <w:right w:val="none" w:sz="0" w:space="0" w:color="auto"/>
      </w:divBdr>
    </w:div>
    <w:div w:id="479272446">
      <w:bodyDiv w:val="1"/>
      <w:marLeft w:val="0"/>
      <w:marRight w:val="0"/>
      <w:marTop w:val="0"/>
      <w:marBottom w:val="0"/>
      <w:divBdr>
        <w:top w:val="none" w:sz="0" w:space="0" w:color="auto"/>
        <w:left w:val="none" w:sz="0" w:space="0" w:color="auto"/>
        <w:bottom w:val="none" w:sz="0" w:space="0" w:color="auto"/>
        <w:right w:val="none" w:sz="0" w:space="0" w:color="auto"/>
      </w:divBdr>
    </w:div>
    <w:div w:id="487751007">
      <w:bodyDiv w:val="1"/>
      <w:marLeft w:val="0"/>
      <w:marRight w:val="0"/>
      <w:marTop w:val="0"/>
      <w:marBottom w:val="0"/>
      <w:divBdr>
        <w:top w:val="none" w:sz="0" w:space="0" w:color="auto"/>
        <w:left w:val="none" w:sz="0" w:space="0" w:color="auto"/>
        <w:bottom w:val="none" w:sz="0" w:space="0" w:color="auto"/>
        <w:right w:val="none" w:sz="0" w:space="0" w:color="auto"/>
      </w:divBdr>
    </w:div>
    <w:div w:id="488251085">
      <w:bodyDiv w:val="1"/>
      <w:marLeft w:val="0"/>
      <w:marRight w:val="0"/>
      <w:marTop w:val="0"/>
      <w:marBottom w:val="0"/>
      <w:divBdr>
        <w:top w:val="none" w:sz="0" w:space="0" w:color="auto"/>
        <w:left w:val="none" w:sz="0" w:space="0" w:color="auto"/>
        <w:bottom w:val="none" w:sz="0" w:space="0" w:color="auto"/>
        <w:right w:val="none" w:sz="0" w:space="0" w:color="auto"/>
      </w:divBdr>
    </w:div>
    <w:div w:id="491062260">
      <w:bodyDiv w:val="1"/>
      <w:marLeft w:val="0"/>
      <w:marRight w:val="0"/>
      <w:marTop w:val="0"/>
      <w:marBottom w:val="0"/>
      <w:divBdr>
        <w:top w:val="none" w:sz="0" w:space="0" w:color="auto"/>
        <w:left w:val="none" w:sz="0" w:space="0" w:color="auto"/>
        <w:bottom w:val="none" w:sz="0" w:space="0" w:color="auto"/>
        <w:right w:val="none" w:sz="0" w:space="0" w:color="auto"/>
      </w:divBdr>
    </w:div>
    <w:div w:id="492378002">
      <w:bodyDiv w:val="1"/>
      <w:marLeft w:val="0"/>
      <w:marRight w:val="0"/>
      <w:marTop w:val="0"/>
      <w:marBottom w:val="0"/>
      <w:divBdr>
        <w:top w:val="none" w:sz="0" w:space="0" w:color="auto"/>
        <w:left w:val="none" w:sz="0" w:space="0" w:color="auto"/>
        <w:bottom w:val="none" w:sz="0" w:space="0" w:color="auto"/>
        <w:right w:val="none" w:sz="0" w:space="0" w:color="auto"/>
      </w:divBdr>
    </w:div>
    <w:div w:id="511995705">
      <w:bodyDiv w:val="1"/>
      <w:marLeft w:val="0"/>
      <w:marRight w:val="0"/>
      <w:marTop w:val="0"/>
      <w:marBottom w:val="0"/>
      <w:divBdr>
        <w:top w:val="none" w:sz="0" w:space="0" w:color="auto"/>
        <w:left w:val="none" w:sz="0" w:space="0" w:color="auto"/>
        <w:bottom w:val="none" w:sz="0" w:space="0" w:color="auto"/>
        <w:right w:val="none" w:sz="0" w:space="0" w:color="auto"/>
      </w:divBdr>
    </w:div>
    <w:div w:id="529806044">
      <w:bodyDiv w:val="1"/>
      <w:marLeft w:val="0"/>
      <w:marRight w:val="0"/>
      <w:marTop w:val="0"/>
      <w:marBottom w:val="0"/>
      <w:divBdr>
        <w:top w:val="none" w:sz="0" w:space="0" w:color="auto"/>
        <w:left w:val="none" w:sz="0" w:space="0" w:color="auto"/>
        <w:bottom w:val="none" w:sz="0" w:space="0" w:color="auto"/>
        <w:right w:val="none" w:sz="0" w:space="0" w:color="auto"/>
      </w:divBdr>
    </w:div>
    <w:div w:id="529882741">
      <w:bodyDiv w:val="1"/>
      <w:marLeft w:val="0"/>
      <w:marRight w:val="0"/>
      <w:marTop w:val="0"/>
      <w:marBottom w:val="0"/>
      <w:divBdr>
        <w:top w:val="none" w:sz="0" w:space="0" w:color="auto"/>
        <w:left w:val="none" w:sz="0" w:space="0" w:color="auto"/>
        <w:bottom w:val="none" w:sz="0" w:space="0" w:color="auto"/>
        <w:right w:val="none" w:sz="0" w:space="0" w:color="auto"/>
      </w:divBdr>
    </w:div>
    <w:div w:id="530415278">
      <w:bodyDiv w:val="1"/>
      <w:marLeft w:val="0"/>
      <w:marRight w:val="0"/>
      <w:marTop w:val="0"/>
      <w:marBottom w:val="0"/>
      <w:divBdr>
        <w:top w:val="none" w:sz="0" w:space="0" w:color="auto"/>
        <w:left w:val="none" w:sz="0" w:space="0" w:color="auto"/>
        <w:bottom w:val="none" w:sz="0" w:space="0" w:color="auto"/>
        <w:right w:val="none" w:sz="0" w:space="0" w:color="auto"/>
      </w:divBdr>
    </w:div>
    <w:div w:id="531768064">
      <w:bodyDiv w:val="1"/>
      <w:marLeft w:val="0"/>
      <w:marRight w:val="0"/>
      <w:marTop w:val="0"/>
      <w:marBottom w:val="0"/>
      <w:divBdr>
        <w:top w:val="none" w:sz="0" w:space="0" w:color="auto"/>
        <w:left w:val="none" w:sz="0" w:space="0" w:color="auto"/>
        <w:bottom w:val="none" w:sz="0" w:space="0" w:color="auto"/>
        <w:right w:val="none" w:sz="0" w:space="0" w:color="auto"/>
      </w:divBdr>
    </w:div>
    <w:div w:id="533008705">
      <w:bodyDiv w:val="1"/>
      <w:marLeft w:val="0"/>
      <w:marRight w:val="0"/>
      <w:marTop w:val="0"/>
      <w:marBottom w:val="0"/>
      <w:divBdr>
        <w:top w:val="none" w:sz="0" w:space="0" w:color="auto"/>
        <w:left w:val="none" w:sz="0" w:space="0" w:color="auto"/>
        <w:bottom w:val="none" w:sz="0" w:space="0" w:color="auto"/>
        <w:right w:val="none" w:sz="0" w:space="0" w:color="auto"/>
      </w:divBdr>
    </w:div>
    <w:div w:id="536968391">
      <w:bodyDiv w:val="1"/>
      <w:marLeft w:val="0"/>
      <w:marRight w:val="0"/>
      <w:marTop w:val="0"/>
      <w:marBottom w:val="0"/>
      <w:divBdr>
        <w:top w:val="none" w:sz="0" w:space="0" w:color="auto"/>
        <w:left w:val="none" w:sz="0" w:space="0" w:color="auto"/>
        <w:bottom w:val="none" w:sz="0" w:space="0" w:color="auto"/>
        <w:right w:val="none" w:sz="0" w:space="0" w:color="auto"/>
      </w:divBdr>
    </w:div>
    <w:div w:id="540214331">
      <w:bodyDiv w:val="1"/>
      <w:marLeft w:val="0"/>
      <w:marRight w:val="0"/>
      <w:marTop w:val="0"/>
      <w:marBottom w:val="0"/>
      <w:divBdr>
        <w:top w:val="none" w:sz="0" w:space="0" w:color="auto"/>
        <w:left w:val="none" w:sz="0" w:space="0" w:color="auto"/>
        <w:bottom w:val="none" w:sz="0" w:space="0" w:color="auto"/>
        <w:right w:val="none" w:sz="0" w:space="0" w:color="auto"/>
      </w:divBdr>
    </w:div>
    <w:div w:id="541675795">
      <w:bodyDiv w:val="1"/>
      <w:marLeft w:val="0"/>
      <w:marRight w:val="0"/>
      <w:marTop w:val="0"/>
      <w:marBottom w:val="0"/>
      <w:divBdr>
        <w:top w:val="none" w:sz="0" w:space="0" w:color="auto"/>
        <w:left w:val="none" w:sz="0" w:space="0" w:color="auto"/>
        <w:bottom w:val="none" w:sz="0" w:space="0" w:color="auto"/>
        <w:right w:val="none" w:sz="0" w:space="0" w:color="auto"/>
      </w:divBdr>
    </w:div>
    <w:div w:id="542980246">
      <w:bodyDiv w:val="1"/>
      <w:marLeft w:val="0"/>
      <w:marRight w:val="0"/>
      <w:marTop w:val="0"/>
      <w:marBottom w:val="0"/>
      <w:divBdr>
        <w:top w:val="none" w:sz="0" w:space="0" w:color="auto"/>
        <w:left w:val="none" w:sz="0" w:space="0" w:color="auto"/>
        <w:bottom w:val="none" w:sz="0" w:space="0" w:color="auto"/>
        <w:right w:val="none" w:sz="0" w:space="0" w:color="auto"/>
      </w:divBdr>
    </w:div>
    <w:div w:id="546183164">
      <w:bodyDiv w:val="1"/>
      <w:marLeft w:val="0"/>
      <w:marRight w:val="0"/>
      <w:marTop w:val="0"/>
      <w:marBottom w:val="0"/>
      <w:divBdr>
        <w:top w:val="none" w:sz="0" w:space="0" w:color="auto"/>
        <w:left w:val="none" w:sz="0" w:space="0" w:color="auto"/>
        <w:bottom w:val="none" w:sz="0" w:space="0" w:color="auto"/>
        <w:right w:val="none" w:sz="0" w:space="0" w:color="auto"/>
      </w:divBdr>
    </w:div>
    <w:div w:id="551845145">
      <w:bodyDiv w:val="1"/>
      <w:marLeft w:val="0"/>
      <w:marRight w:val="0"/>
      <w:marTop w:val="0"/>
      <w:marBottom w:val="0"/>
      <w:divBdr>
        <w:top w:val="none" w:sz="0" w:space="0" w:color="auto"/>
        <w:left w:val="none" w:sz="0" w:space="0" w:color="auto"/>
        <w:bottom w:val="none" w:sz="0" w:space="0" w:color="auto"/>
        <w:right w:val="none" w:sz="0" w:space="0" w:color="auto"/>
      </w:divBdr>
    </w:div>
    <w:div w:id="556362845">
      <w:bodyDiv w:val="1"/>
      <w:marLeft w:val="0"/>
      <w:marRight w:val="0"/>
      <w:marTop w:val="0"/>
      <w:marBottom w:val="0"/>
      <w:divBdr>
        <w:top w:val="none" w:sz="0" w:space="0" w:color="auto"/>
        <w:left w:val="none" w:sz="0" w:space="0" w:color="auto"/>
        <w:bottom w:val="none" w:sz="0" w:space="0" w:color="auto"/>
        <w:right w:val="none" w:sz="0" w:space="0" w:color="auto"/>
      </w:divBdr>
    </w:div>
    <w:div w:id="559485158">
      <w:bodyDiv w:val="1"/>
      <w:marLeft w:val="0"/>
      <w:marRight w:val="0"/>
      <w:marTop w:val="0"/>
      <w:marBottom w:val="0"/>
      <w:divBdr>
        <w:top w:val="none" w:sz="0" w:space="0" w:color="auto"/>
        <w:left w:val="none" w:sz="0" w:space="0" w:color="auto"/>
        <w:bottom w:val="none" w:sz="0" w:space="0" w:color="auto"/>
        <w:right w:val="none" w:sz="0" w:space="0" w:color="auto"/>
      </w:divBdr>
    </w:div>
    <w:div w:id="564608164">
      <w:bodyDiv w:val="1"/>
      <w:marLeft w:val="0"/>
      <w:marRight w:val="0"/>
      <w:marTop w:val="0"/>
      <w:marBottom w:val="0"/>
      <w:divBdr>
        <w:top w:val="none" w:sz="0" w:space="0" w:color="auto"/>
        <w:left w:val="none" w:sz="0" w:space="0" w:color="auto"/>
        <w:bottom w:val="none" w:sz="0" w:space="0" w:color="auto"/>
        <w:right w:val="none" w:sz="0" w:space="0" w:color="auto"/>
      </w:divBdr>
    </w:div>
    <w:div w:id="581259295">
      <w:bodyDiv w:val="1"/>
      <w:marLeft w:val="0"/>
      <w:marRight w:val="0"/>
      <w:marTop w:val="0"/>
      <w:marBottom w:val="0"/>
      <w:divBdr>
        <w:top w:val="none" w:sz="0" w:space="0" w:color="auto"/>
        <w:left w:val="none" w:sz="0" w:space="0" w:color="auto"/>
        <w:bottom w:val="none" w:sz="0" w:space="0" w:color="auto"/>
        <w:right w:val="none" w:sz="0" w:space="0" w:color="auto"/>
      </w:divBdr>
    </w:div>
    <w:div w:id="588271056">
      <w:bodyDiv w:val="1"/>
      <w:marLeft w:val="0"/>
      <w:marRight w:val="0"/>
      <w:marTop w:val="0"/>
      <w:marBottom w:val="0"/>
      <w:divBdr>
        <w:top w:val="none" w:sz="0" w:space="0" w:color="auto"/>
        <w:left w:val="none" w:sz="0" w:space="0" w:color="auto"/>
        <w:bottom w:val="none" w:sz="0" w:space="0" w:color="auto"/>
        <w:right w:val="none" w:sz="0" w:space="0" w:color="auto"/>
      </w:divBdr>
    </w:div>
    <w:div w:id="612051625">
      <w:bodyDiv w:val="1"/>
      <w:marLeft w:val="0"/>
      <w:marRight w:val="0"/>
      <w:marTop w:val="0"/>
      <w:marBottom w:val="0"/>
      <w:divBdr>
        <w:top w:val="none" w:sz="0" w:space="0" w:color="auto"/>
        <w:left w:val="none" w:sz="0" w:space="0" w:color="auto"/>
        <w:bottom w:val="none" w:sz="0" w:space="0" w:color="auto"/>
        <w:right w:val="none" w:sz="0" w:space="0" w:color="auto"/>
      </w:divBdr>
    </w:div>
    <w:div w:id="624428398">
      <w:bodyDiv w:val="1"/>
      <w:marLeft w:val="0"/>
      <w:marRight w:val="0"/>
      <w:marTop w:val="0"/>
      <w:marBottom w:val="0"/>
      <w:divBdr>
        <w:top w:val="none" w:sz="0" w:space="0" w:color="auto"/>
        <w:left w:val="none" w:sz="0" w:space="0" w:color="auto"/>
        <w:bottom w:val="none" w:sz="0" w:space="0" w:color="auto"/>
        <w:right w:val="none" w:sz="0" w:space="0" w:color="auto"/>
      </w:divBdr>
    </w:div>
    <w:div w:id="625815983">
      <w:bodyDiv w:val="1"/>
      <w:marLeft w:val="0"/>
      <w:marRight w:val="0"/>
      <w:marTop w:val="0"/>
      <w:marBottom w:val="0"/>
      <w:divBdr>
        <w:top w:val="none" w:sz="0" w:space="0" w:color="auto"/>
        <w:left w:val="none" w:sz="0" w:space="0" w:color="auto"/>
        <w:bottom w:val="none" w:sz="0" w:space="0" w:color="auto"/>
        <w:right w:val="none" w:sz="0" w:space="0" w:color="auto"/>
      </w:divBdr>
    </w:div>
    <w:div w:id="628172212">
      <w:bodyDiv w:val="1"/>
      <w:marLeft w:val="0"/>
      <w:marRight w:val="0"/>
      <w:marTop w:val="0"/>
      <w:marBottom w:val="0"/>
      <w:divBdr>
        <w:top w:val="none" w:sz="0" w:space="0" w:color="auto"/>
        <w:left w:val="none" w:sz="0" w:space="0" w:color="auto"/>
        <w:bottom w:val="none" w:sz="0" w:space="0" w:color="auto"/>
        <w:right w:val="none" w:sz="0" w:space="0" w:color="auto"/>
      </w:divBdr>
    </w:div>
    <w:div w:id="633409568">
      <w:bodyDiv w:val="1"/>
      <w:marLeft w:val="0"/>
      <w:marRight w:val="0"/>
      <w:marTop w:val="0"/>
      <w:marBottom w:val="0"/>
      <w:divBdr>
        <w:top w:val="none" w:sz="0" w:space="0" w:color="auto"/>
        <w:left w:val="none" w:sz="0" w:space="0" w:color="auto"/>
        <w:bottom w:val="none" w:sz="0" w:space="0" w:color="auto"/>
        <w:right w:val="none" w:sz="0" w:space="0" w:color="auto"/>
      </w:divBdr>
    </w:div>
    <w:div w:id="634800304">
      <w:bodyDiv w:val="1"/>
      <w:marLeft w:val="0"/>
      <w:marRight w:val="0"/>
      <w:marTop w:val="0"/>
      <w:marBottom w:val="0"/>
      <w:divBdr>
        <w:top w:val="none" w:sz="0" w:space="0" w:color="auto"/>
        <w:left w:val="none" w:sz="0" w:space="0" w:color="auto"/>
        <w:bottom w:val="none" w:sz="0" w:space="0" w:color="auto"/>
        <w:right w:val="none" w:sz="0" w:space="0" w:color="auto"/>
      </w:divBdr>
    </w:div>
    <w:div w:id="635375931">
      <w:bodyDiv w:val="1"/>
      <w:marLeft w:val="0"/>
      <w:marRight w:val="0"/>
      <w:marTop w:val="0"/>
      <w:marBottom w:val="0"/>
      <w:divBdr>
        <w:top w:val="none" w:sz="0" w:space="0" w:color="auto"/>
        <w:left w:val="none" w:sz="0" w:space="0" w:color="auto"/>
        <w:bottom w:val="none" w:sz="0" w:space="0" w:color="auto"/>
        <w:right w:val="none" w:sz="0" w:space="0" w:color="auto"/>
      </w:divBdr>
    </w:div>
    <w:div w:id="642582399">
      <w:bodyDiv w:val="1"/>
      <w:marLeft w:val="0"/>
      <w:marRight w:val="0"/>
      <w:marTop w:val="0"/>
      <w:marBottom w:val="0"/>
      <w:divBdr>
        <w:top w:val="none" w:sz="0" w:space="0" w:color="auto"/>
        <w:left w:val="none" w:sz="0" w:space="0" w:color="auto"/>
        <w:bottom w:val="none" w:sz="0" w:space="0" w:color="auto"/>
        <w:right w:val="none" w:sz="0" w:space="0" w:color="auto"/>
      </w:divBdr>
    </w:div>
    <w:div w:id="649943707">
      <w:bodyDiv w:val="1"/>
      <w:marLeft w:val="0"/>
      <w:marRight w:val="0"/>
      <w:marTop w:val="0"/>
      <w:marBottom w:val="0"/>
      <w:divBdr>
        <w:top w:val="none" w:sz="0" w:space="0" w:color="auto"/>
        <w:left w:val="none" w:sz="0" w:space="0" w:color="auto"/>
        <w:bottom w:val="none" w:sz="0" w:space="0" w:color="auto"/>
        <w:right w:val="none" w:sz="0" w:space="0" w:color="auto"/>
      </w:divBdr>
    </w:div>
    <w:div w:id="656493716">
      <w:bodyDiv w:val="1"/>
      <w:marLeft w:val="0"/>
      <w:marRight w:val="0"/>
      <w:marTop w:val="0"/>
      <w:marBottom w:val="0"/>
      <w:divBdr>
        <w:top w:val="none" w:sz="0" w:space="0" w:color="auto"/>
        <w:left w:val="none" w:sz="0" w:space="0" w:color="auto"/>
        <w:bottom w:val="none" w:sz="0" w:space="0" w:color="auto"/>
        <w:right w:val="none" w:sz="0" w:space="0" w:color="auto"/>
      </w:divBdr>
    </w:div>
    <w:div w:id="675155187">
      <w:bodyDiv w:val="1"/>
      <w:marLeft w:val="0"/>
      <w:marRight w:val="0"/>
      <w:marTop w:val="0"/>
      <w:marBottom w:val="0"/>
      <w:divBdr>
        <w:top w:val="none" w:sz="0" w:space="0" w:color="auto"/>
        <w:left w:val="none" w:sz="0" w:space="0" w:color="auto"/>
        <w:bottom w:val="none" w:sz="0" w:space="0" w:color="auto"/>
        <w:right w:val="none" w:sz="0" w:space="0" w:color="auto"/>
      </w:divBdr>
    </w:div>
    <w:div w:id="675421628">
      <w:bodyDiv w:val="1"/>
      <w:marLeft w:val="0"/>
      <w:marRight w:val="0"/>
      <w:marTop w:val="0"/>
      <w:marBottom w:val="0"/>
      <w:divBdr>
        <w:top w:val="none" w:sz="0" w:space="0" w:color="auto"/>
        <w:left w:val="none" w:sz="0" w:space="0" w:color="auto"/>
        <w:bottom w:val="none" w:sz="0" w:space="0" w:color="auto"/>
        <w:right w:val="none" w:sz="0" w:space="0" w:color="auto"/>
      </w:divBdr>
    </w:div>
    <w:div w:id="678888599">
      <w:bodyDiv w:val="1"/>
      <w:marLeft w:val="0"/>
      <w:marRight w:val="0"/>
      <w:marTop w:val="0"/>
      <w:marBottom w:val="0"/>
      <w:divBdr>
        <w:top w:val="none" w:sz="0" w:space="0" w:color="auto"/>
        <w:left w:val="none" w:sz="0" w:space="0" w:color="auto"/>
        <w:bottom w:val="none" w:sz="0" w:space="0" w:color="auto"/>
        <w:right w:val="none" w:sz="0" w:space="0" w:color="auto"/>
      </w:divBdr>
    </w:div>
    <w:div w:id="691300685">
      <w:bodyDiv w:val="1"/>
      <w:marLeft w:val="0"/>
      <w:marRight w:val="0"/>
      <w:marTop w:val="0"/>
      <w:marBottom w:val="0"/>
      <w:divBdr>
        <w:top w:val="none" w:sz="0" w:space="0" w:color="auto"/>
        <w:left w:val="none" w:sz="0" w:space="0" w:color="auto"/>
        <w:bottom w:val="none" w:sz="0" w:space="0" w:color="auto"/>
        <w:right w:val="none" w:sz="0" w:space="0" w:color="auto"/>
      </w:divBdr>
    </w:div>
    <w:div w:id="691690734">
      <w:bodyDiv w:val="1"/>
      <w:marLeft w:val="0"/>
      <w:marRight w:val="0"/>
      <w:marTop w:val="0"/>
      <w:marBottom w:val="0"/>
      <w:divBdr>
        <w:top w:val="none" w:sz="0" w:space="0" w:color="auto"/>
        <w:left w:val="none" w:sz="0" w:space="0" w:color="auto"/>
        <w:bottom w:val="none" w:sz="0" w:space="0" w:color="auto"/>
        <w:right w:val="none" w:sz="0" w:space="0" w:color="auto"/>
      </w:divBdr>
      <w:divsChild>
        <w:div w:id="1025789545">
          <w:marLeft w:val="0"/>
          <w:marRight w:val="0"/>
          <w:marTop w:val="0"/>
          <w:marBottom w:val="0"/>
          <w:divBdr>
            <w:top w:val="none" w:sz="0" w:space="0" w:color="auto"/>
            <w:left w:val="none" w:sz="0" w:space="0" w:color="auto"/>
            <w:bottom w:val="none" w:sz="0" w:space="0" w:color="auto"/>
            <w:right w:val="none" w:sz="0" w:space="0" w:color="auto"/>
          </w:divBdr>
          <w:divsChild>
            <w:div w:id="1084764328">
              <w:marLeft w:val="0"/>
              <w:marRight w:val="0"/>
              <w:marTop w:val="0"/>
              <w:marBottom w:val="0"/>
              <w:divBdr>
                <w:top w:val="none" w:sz="0" w:space="0" w:color="auto"/>
                <w:left w:val="none" w:sz="0" w:space="0" w:color="auto"/>
                <w:bottom w:val="none" w:sz="0" w:space="0" w:color="auto"/>
                <w:right w:val="none" w:sz="0" w:space="0" w:color="auto"/>
              </w:divBdr>
              <w:divsChild>
                <w:div w:id="1542745871">
                  <w:marLeft w:val="0"/>
                  <w:marRight w:val="0"/>
                  <w:marTop w:val="0"/>
                  <w:marBottom w:val="0"/>
                  <w:divBdr>
                    <w:top w:val="none" w:sz="0" w:space="0" w:color="auto"/>
                    <w:left w:val="none" w:sz="0" w:space="0" w:color="auto"/>
                    <w:bottom w:val="none" w:sz="0" w:space="0" w:color="auto"/>
                    <w:right w:val="none" w:sz="0" w:space="0" w:color="auto"/>
                  </w:divBdr>
                  <w:divsChild>
                    <w:div w:id="1658530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552875">
          <w:marLeft w:val="0"/>
          <w:marRight w:val="0"/>
          <w:marTop w:val="0"/>
          <w:marBottom w:val="0"/>
          <w:divBdr>
            <w:top w:val="none" w:sz="0" w:space="0" w:color="auto"/>
            <w:left w:val="none" w:sz="0" w:space="0" w:color="auto"/>
            <w:bottom w:val="none" w:sz="0" w:space="0" w:color="auto"/>
            <w:right w:val="none" w:sz="0" w:space="0" w:color="auto"/>
          </w:divBdr>
          <w:divsChild>
            <w:div w:id="946960548">
              <w:marLeft w:val="0"/>
              <w:marRight w:val="0"/>
              <w:marTop w:val="0"/>
              <w:marBottom w:val="0"/>
              <w:divBdr>
                <w:top w:val="none" w:sz="0" w:space="0" w:color="auto"/>
                <w:left w:val="none" w:sz="0" w:space="0" w:color="auto"/>
                <w:bottom w:val="none" w:sz="0" w:space="0" w:color="auto"/>
                <w:right w:val="none" w:sz="0" w:space="0" w:color="auto"/>
              </w:divBdr>
              <w:divsChild>
                <w:div w:id="613832121">
                  <w:marLeft w:val="0"/>
                  <w:marRight w:val="0"/>
                  <w:marTop w:val="0"/>
                  <w:marBottom w:val="0"/>
                  <w:divBdr>
                    <w:top w:val="none" w:sz="0" w:space="0" w:color="auto"/>
                    <w:left w:val="none" w:sz="0" w:space="0" w:color="auto"/>
                    <w:bottom w:val="none" w:sz="0" w:space="0" w:color="auto"/>
                    <w:right w:val="none" w:sz="0" w:space="0" w:color="auto"/>
                  </w:divBdr>
                  <w:divsChild>
                    <w:div w:id="141532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805580">
      <w:bodyDiv w:val="1"/>
      <w:marLeft w:val="0"/>
      <w:marRight w:val="0"/>
      <w:marTop w:val="0"/>
      <w:marBottom w:val="0"/>
      <w:divBdr>
        <w:top w:val="none" w:sz="0" w:space="0" w:color="auto"/>
        <w:left w:val="none" w:sz="0" w:space="0" w:color="auto"/>
        <w:bottom w:val="none" w:sz="0" w:space="0" w:color="auto"/>
        <w:right w:val="none" w:sz="0" w:space="0" w:color="auto"/>
      </w:divBdr>
    </w:div>
    <w:div w:id="693576331">
      <w:bodyDiv w:val="1"/>
      <w:marLeft w:val="0"/>
      <w:marRight w:val="0"/>
      <w:marTop w:val="0"/>
      <w:marBottom w:val="0"/>
      <w:divBdr>
        <w:top w:val="none" w:sz="0" w:space="0" w:color="auto"/>
        <w:left w:val="none" w:sz="0" w:space="0" w:color="auto"/>
        <w:bottom w:val="none" w:sz="0" w:space="0" w:color="auto"/>
        <w:right w:val="none" w:sz="0" w:space="0" w:color="auto"/>
      </w:divBdr>
    </w:div>
    <w:div w:id="703671351">
      <w:bodyDiv w:val="1"/>
      <w:marLeft w:val="0"/>
      <w:marRight w:val="0"/>
      <w:marTop w:val="0"/>
      <w:marBottom w:val="0"/>
      <w:divBdr>
        <w:top w:val="none" w:sz="0" w:space="0" w:color="auto"/>
        <w:left w:val="none" w:sz="0" w:space="0" w:color="auto"/>
        <w:bottom w:val="none" w:sz="0" w:space="0" w:color="auto"/>
        <w:right w:val="none" w:sz="0" w:space="0" w:color="auto"/>
      </w:divBdr>
    </w:div>
    <w:div w:id="713388783">
      <w:bodyDiv w:val="1"/>
      <w:marLeft w:val="0"/>
      <w:marRight w:val="0"/>
      <w:marTop w:val="0"/>
      <w:marBottom w:val="0"/>
      <w:divBdr>
        <w:top w:val="none" w:sz="0" w:space="0" w:color="auto"/>
        <w:left w:val="none" w:sz="0" w:space="0" w:color="auto"/>
        <w:bottom w:val="none" w:sz="0" w:space="0" w:color="auto"/>
        <w:right w:val="none" w:sz="0" w:space="0" w:color="auto"/>
      </w:divBdr>
    </w:div>
    <w:div w:id="715203057">
      <w:bodyDiv w:val="1"/>
      <w:marLeft w:val="0"/>
      <w:marRight w:val="0"/>
      <w:marTop w:val="0"/>
      <w:marBottom w:val="0"/>
      <w:divBdr>
        <w:top w:val="none" w:sz="0" w:space="0" w:color="auto"/>
        <w:left w:val="none" w:sz="0" w:space="0" w:color="auto"/>
        <w:bottom w:val="none" w:sz="0" w:space="0" w:color="auto"/>
        <w:right w:val="none" w:sz="0" w:space="0" w:color="auto"/>
      </w:divBdr>
    </w:div>
    <w:div w:id="720443103">
      <w:bodyDiv w:val="1"/>
      <w:marLeft w:val="0"/>
      <w:marRight w:val="0"/>
      <w:marTop w:val="0"/>
      <w:marBottom w:val="0"/>
      <w:divBdr>
        <w:top w:val="none" w:sz="0" w:space="0" w:color="auto"/>
        <w:left w:val="none" w:sz="0" w:space="0" w:color="auto"/>
        <w:bottom w:val="none" w:sz="0" w:space="0" w:color="auto"/>
        <w:right w:val="none" w:sz="0" w:space="0" w:color="auto"/>
      </w:divBdr>
    </w:div>
    <w:div w:id="725491347">
      <w:bodyDiv w:val="1"/>
      <w:marLeft w:val="0"/>
      <w:marRight w:val="0"/>
      <w:marTop w:val="0"/>
      <w:marBottom w:val="0"/>
      <w:divBdr>
        <w:top w:val="none" w:sz="0" w:space="0" w:color="auto"/>
        <w:left w:val="none" w:sz="0" w:space="0" w:color="auto"/>
        <w:bottom w:val="none" w:sz="0" w:space="0" w:color="auto"/>
        <w:right w:val="none" w:sz="0" w:space="0" w:color="auto"/>
      </w:divBdr>
    </w:div>
    <w:div w:id="726300661">
      <w:bodyDiv w:val="1"/>
      <w:marLeft w:val="0"/>
      <w:marRight w:val="0"/>
      <w:marTop w:val="0"/>
      <w:marBottom w:val="0"/>
      <w:divBdr>
        <w:top w:val="none" w:sz="0" w:space="0" w:color="auto"/>
        <w:left w:val="none" w:sz="0" w:space="0" w:color="auto"/>
        <w:bottom w:val="none" w:sz="0" w:space="0" w:color="auto"/>
        <w:right w:val="none" w:sz="0" w:space="0" w:color="auto"/>
      </w:divBdr>
    </w:div>
    <w:div w:id="729310950">
      <w:bodyDiv w:val="1"/>
      <w:marLeft w:val="0"/>
      <w:marRight w:val="0"/>
      <w:marTop w:val="0"/>
      <w:marBottom w:val="0"/>
      <w:divBdr>
        <w:top w:val="none" w:sz="0" w:space="0" w:color="auto"/>
        <w:left w:val="none" w:sz="0" w:space="0" w:color="auto"/>
        <w:bottom w:val="none" w:sz="0" w:space="0" w:color="auto"/>
        <w:right w:val="none" w:sz="0" w:space="0" w:color="auto"/>
      </w:divBdr>
    </w:div>
    <w:div w:id="732116132">
      <w:bodyDiv w:val="1"/>
      <w:marLeft w:val="0"/>
      <w:marRight w:val="0"/>
      <w:marTop w:val="0"/>
      <w:marBottom w:val="0"/>
      <w:divBdr>
        <w:top w:val="none" w:sz="0" w:space="0" w:color="auto"/>
        <w:left w:val="none" w:sz="0" w:space="0" w:color="auto"/>
        <w:bottom w:val="none" w:sz="0" w:space="0" w:color="auto"/>
        <w:right w:val="none" w:sz="0" w:space="0" w:color="auto"/>
      </w:divBdr>
    </w:div>
    <w:div w:id="736392988">
      <w:bodyDiv w:val="1"/>
      <w:marLeft w:val="0"/>
      <w:marRight w:val="0"/>
      <w:marTop w:val="0"/>
      <w:marBottom w:val="0"/>
      <w:divBdr>
        <w:top w:val="none" w:sz="0" w:space="0" w:color="auto"/>
        <w:left w:val="none" w:sz="0" w:space="0" w:color="auto"/>
        <w:bottom w:val="none" w:sz="0" w:space="0" w:color="auto"/>
        <w:right w:val="none" w:sz="0" w:space="0" w:color="auto"/>
      </w:divBdr>
    </w:div>
    <w:div w:id="738093156">
      <w:bodyDiv w:val="1"/>
      <w:marLeft w:val="0"/>
      <w:marRight w:val="0"/>
      <w:marTop w:val="0"/>
      <w:marBottom w:val="0"/>
      <w:divBdr>
        <w:top w:val="none" w:sz="0" w:space="0" w:color="auto"/>
        <w:left w:val="none" w:sz="0" w:space="0" w:color="auto"/>
        <w:bottom w:val="none" w:sz="0" w:space="0" w:color="auto"/>
        <w:right w:val="none" w:sz="0" w:space="0" w:color="auto"/>
      </w:divBdr>
    </w:div>
    <w:div w:id="740252804">
      <w:bodyDiv w:val="1"/>
      <w:marLeft w:val="0"/>
      <w:marRight w:val="0"/>
      <w:marTop w:val="0"/>
      <w:marBottom w:val="0"/>
      <w:divBdr>
        <w:top w:val="none" w:sz="0" w:space="0" w:color="auto"/>
        <w:left w:val="none" w:sz="0" w:space="0" w:color="auto"/>
        <w:bottom w:val="none" w:sz="0" w:space="0" w:color="auto"/>
        <w:right w:val="none" w:sz="0" w:space="0" w:color="auto"/>
      </w:divBdr>
    </w:div>
    <w:div w:id="747075287">
      <w:bodyDiv w:val="1"/>
      <w:marLeft w:val="0"/>
      <w:marRight w:val="0"/>
      <w:marTop w:val="0"/>
      <w:marBottom w:val="0"/>
      <w:divBdr>
        <w:top w:val="none" w:sz="0" w:space="0" w:color="auto"/>
        <w:left w:val="none" w:sz="0" w:space="0" w:color="auto"/>
        <w:bottom w:val="none" w:sz="0" w:space="0" w:color="auto"/>
        <w:right w:val="none" w:sz="0" w:space="0" w:color="auto"/>
      </w:divBdr>
    </w:div>
    <w:div w:id="752362628">
      <w:bodyDiv w:val="1"/>
      <w:marLeft w:val="0"/>
      <w:marRight w:val="0"/>
      <w:marTop w:val="0"/>
      <w:marBottom w:val="0"/>
      <w:divBdr>
        <w:top w:val="none" w:sz="0" w:space="0" w:color="auto"/>
        <w:left w:val="none" w:sz="0" w:space="0" w:color="auto"/>
        <w:bottom w:val="none" w:sz="0" w:space="0" w:color="auto"/>
        <w:right w:val="none" w:sz="0" w:space="0" w:color="auto"/>
      </w:divBdr>
    </w:div>
    <w:div w:id="760641453">
      <w:bodyDiv w:val="1"/>
      <w:marLeft w:val="0"/>
      <w:marRight w:val="0"/>
      <w:marTop w:val="0"/>
      <w:marBottom w:val="0"/>
      <w:divBdr>
        <w:top w:val="none" w:sz="0" w:space="0" w:color="auto"/>
        <w:left w:val="none" w:sz="0" w:space="0" w:color="auto"/>
        <w:bottom w:val="none" w:sz="0" w:space="0" w:color="auto"/>
        <w:right w:val="none" w:sz="0" w:space="0" w:color="auto"/>
      </w:divBdr>
    </w:div>
    <w:div w:id="767316358">
      <w:bodyDiv w:val="1"/>
      <w:marLeft w:val="0"/>
      <w:marRight w:val="0"/>
      <w:marTop w:val="0"/>
      <w:marBottom w:val="0"/>
      <w:divBdr>
        <w:top w:val="none" w:sz="0" w:space="0" w:color="auto"/>
        <w:left w:val="none" w:sz="0" w:space="0" w:color="auto"/>
        <w:bottom w:val="none" w:sz="0" w:space="0" w:color="auto"/>
        <w:right w:val="none" w:sz="0" w:space="0" w:color="auto"/>
      </w:divBdr>
    </w:div>
    <w:div w:id="770663871">
      <w:bodyDiv w:val="1"/>
      <w:marLeft w:val="0"/>
      <w:marRight w:val="0"/>
      <w:marTop w:val="0"/>
      <w:marBottom w:val="0"/>
      <w:divBdr>
        <w:top w:val="none" w:sz="0" w:space="0" w:color="auto"/>
        <w:left w:val="none" w:sz="0" w:space="0" w:color="auto"/>
        <w:bottom w:val="none" w:sz="0" w:space="0" w:color="auto"/>
        <w:right w:val="none" w:sz="0" w:space="0" w:color="auto"/>
      </w:divBdr>
    </w:div>
    <w:div w:id="777675723">
      <w:bodyDiv w:val="1"/>
      <w:marLeft w:val="0"/>
      <w:marRight w:val="0"/>
      <w:marTop w:val="0"/>
      <w:marBottom w:val="0"/>
      <w:divBdr>
        <w:top w:val="none" w:sz="0" w:space="0" w:color="auto"/>
        <w:left w:val="none" w:sz="0" w:space="0" w:color="auto"/>
        <w:bottom w:val="none" w:sz="0" w:space="0" w:color="auto"/>
        <w:right w:val="none" w:sz="0" w:space="0" w:color="auto"/>
      </w:divBdr>
    </w:div>
    <w:div w:id="780879226">
      <w:bodyDiv w:val="1"/>
      <w:marLeft w:val="0"/>
      <w:marRight w:val="0"/>
      <w:marTop w:val="0"/>
      <w:marBottom w:val="0"/>
      <w:divBdr>
        <w:top w:val="none" w:sz="0" w:space="0" w:color="auto"/>
        <w:left w:val="none" w:sz="0" w:space="0" w:color="auto"/>
        <w:bottom w:val="none" w:sz="0" w:space="0" w:color="auto"/>
        <w:right w:val="none" w:sz="0" w:space="0" w:color="auto"/>
      </w:divBdr>
    </w:div>
    <w:div w:id="783622449">
      <w:bodyDiv w:val="1"/>
      <w:marLeft w:val="0"/>
      <w:marRight w:val="0"/>
      <w:marTop w:val="0"/>
      <w:marBottom w:val="0"/>
      <w:divBdr>
        <w:top w:val="none" w:sz="0" w:space="0" w:color="auto"/>
        <w:left w:val="none" w:sz="0" w:space="0" w:color="auto"/>
        <w:bottom w:val="none" w:sz="0" w:space="0" w:color="auto"/>
        <w:right w:val="none" w:sz="0" w:space="0" w:color="auto"/>
      </w:divBdr>
    </w:div>
    <w:div w:id="785733272">
      <w:bodyDiv w:val="1"/>
      <w:marLeft w:val="0"/>
      <w:marRight w:val="0"/>
      <w:marTop w:val="0"/>
      <w:marBottom w:val="0"/>
      <w:divBdr>
        <w:top w:val="none" w:sz="0" w:space="0" w:color="auto"/>
        <w:left w:val="none" w:sz="0" w:space="0" w:color="auto"/>
        <w:bottom w:val="none" w:sz="0" w:space="0" w:color="auto"/>
        <w:right w:val="none" w:sz="0" w:space="0" w:color="auto"/>
      </w:divBdr>
    </w:div>
    <w:div w:id="788202114">
      <w:bodyDiv w:val="1"/>
      <w:marLeft w:val="0"/>
      <w:marRight w:val="0"/>
      <w:marTop w:val="0"/>
      <w:marBottom w:val="0"/>
      <w:divBdr>
        <w:top w:val="none" w:sz="0" w:space="0" w:color="auto"/>
        <w:left w:val="none" w:sz="0" w:space="0" w:color="auto"/>
        <w:bottom w:val="none" w:sz="0" w:space="0" w:color="auto"/>
        <w:right w:val="none" w:sz="0" w:space="0" w:color="auto"/>
      </w:divBdr>
    </w:div>
    <w:div w:id="788283381">
      <w:bodyDiv w:val="1"/>
      <w:marLeft w:val="0"/>
      <w:marRight w:val="0"/>
      <w:marTop w:val="0"/>
      <w:marBottom w:val="0"/>
      <w:divBdr>
        <w:top w:val="none" w:sz="0" w:space="0" w:color="auto"/>
        <w:left w:val="none" w:sz="0" w:space="0" w:color="auto"/>
        <w:bottom w:val="none" w:sz="0" w:space="0" w:color="auto"/>
        <w:right w:val="none" w:sz="0" w:space="0" w:color="auto"/>
      </w:divBdr>
    </w:div>
    <w:div w:id="794832079">
      <w:bodyDiv w:val="1"/>
      <w:marLeft w:val="0"/>
      <w:marRight w:val="0"/>
      <w:marTop w:val="0"/>
      <w:marBottom w:val="0"/>
      <w:divBdr>
        <w:top w:val="none" w:sz="0" w:space="0" w:color="auto"/>
        <w:left w:val="none" w:sz="0" w:space="0" w:color="auto"/>
        <w:bottom w:val="none" w:sz="0" w:space="0" w:color="auto"/>
        <w:right w:val="none" w:sz="0" w:space="0" w:color="auto"/>
      </w:divBdr>
    </w:div>
    <w:div w:id="805053239">
      <w:bodyDiv w:val="1"/>
      <w:marLeft w:val="0"/>
      <w:marRight w:val="0"/>
      <w:marTop w:val="0"/>
      <w:marBottom w:val="0"/>
      <w:divBdr>
        <w:top w:val="none" w:sz="0" w:space="0" w:color="auto"/>
        <w:left w:val="none" w:sz="0" w:space="0" w:color="auto"/>
        <w:bottom w:val="none" w:sz="0" w:space="0" w:color="auto"/>
        <w:right w:val="none" w:sz="0" w:space="0" w:color="auto"/>
      </w:divBdr>
    </w:div>
    <w:div w:id="808278494">
      <w:bodyDiv w:val="1"/>
      <w:marLeft w:val="0"/>
      <w:marRight w:val="0"/>
      <w:marTop w:val="0"/>
      <w:marBottom w:val="0"/>
      <w:divBdr>
        <w:top w:val="none" w:sz="0" w:space="0" w:color="auto"/>
        <w:left w:val="none" w:sz="0" w:space="0" w:color="auto"/>
        <w:bottom w:val="none" w:sz="0" w:space="0" w:color="auto"/>
        <w:right w:val="none" w:sz="0" w:space="0" w:color="auto"/>
      </w:divBdr>
    </w:div>
    <w:div w:id="811409950">
      <w:bodyDiv w:val="1"/>
      <w:marLeft w:val="0"/>
      <w:marRight w:val="0"/>
      <w:marTop w:val="0"/>
      <w:marBottom w:val="0"/>
      <w:divBdr>
        <w:top w:val="none" w:sz="0" w:space="0" w:color="auto"/>
        <w:left w:val="none" w:sz="0" w:space="0" w:color="auto"/>
        <w:bottom w:val="none" w:sz="0" w:space="0" w:color="auto"/>
        <w:right w:val="none" w:sz="0" w:space="0" w:color="auto"/>
      </w:divBdr>
    </w:div>
    <w:div w:id="822162113">
      <w:bodyDiv w:val="1"/>
      <w:marLeft w:val="0"/>
      <w:marRight w:val="0"/>
      <w:marTop w:val="0"/>
      <w:marBottom w:val="0"/>
      <w:divBdr>
        <w:top w:val="none" w:sz="0" w:space="0" w:color="auto"/>
        <w:left w:val="none" w:sz="0" w:space="0" w:color="auto"/>
        <w:bottom w:val="none" w:sz="0" w:space="0" w:color="auto"/>
        <w:right w:val="none" w:sz="0" w:space="0" w:color="auto"/>
      </w:divBdr>
    </w:div>
    <w:div w:id="824320235">
      <w:bodyDiv w:val="1"/>
      <w:marLeft w:val="0"/>
      <w:marRight w:val="0"/>
      <w:marTop w:val="0"/>
      <w:marBottom w:val="0"/>
      <w:divBdr>
        <w:top w:val="none" w:sz="0" w:space="0" w:color="auto"/>
        <w:left w:val="none" w:sz="0" w:space="0" w:color="auto"/>
        <w:bottom w:val="none" w:sz="0" w:space="0" w:color="auto"/>
        <w:right w:val="none" w:sz="0" w:space="0" w:color="auto"/>
      </w:divBdr>
    </w:div>
    <w:div w:id="825248702">
      <w:bodyDiv w:val="1"/>
      <w:marLeft w:val="0"/>
      <w:marRight w:val="0"/>
      <w:marTop w:val="0"/>
      <w:marBottom w:val="0"/>
      <w:divBdr>
        <w:top w:val="none" w:sz="0" w:space="0" w:color="auto"/>
        <w:left w:val="none" w:sz="0" w:space="0" w:color="auto"/>
        <w:bottom w:val="none" w:sz="0" w:space="0" w:color="auto"/>
        <w:right w:val="none" w:sz="0" w:space="0" w:color="auto"/>
      </w:divBdr>
    </w:div>
    <w:div w:id="844589110">
      <w:bodyDiv w:val="1"/>
      <w:marLeft w:val="0"/>
      <w:marRight w:val="0"/>
      <w:marTop w:val="0"/>
      <w:marBottom w:val="0"/>
      <w:divBdr>
        <w:top w:val="none" w:sz="0" w:space="0" w:color="auto"/>
        <w:left w:val="none" w:sz="0" w:space="0" w:color="auto"/>
        <w:bottom w:val="none" w:sz="0" w:space="0" w:color="auto"/>
        <w:right w:val="none" w:sz="0" w:space="0" w:color="auto"/>
      </w:divBdr>
    </w:div>
    <w:div w:id="846750375">
      <w:bodyDiv w:val="1"/>
      <w:marLeft w:val="0"/>
      <w:marRight w:val="0"/>
      <w:marTop w:val="0"/>
      <w:marBottom w:val="0"/>
      <w:divBdr>
        <w:top w:val="none" w:sz="0" w:space="0" w:color="auto"/>
        <w:left w:val="none" w:sz="0" w:space="0" w:color="auto"/>
        <w:bottom w:val="none" w:sz="0" w:space="0" w:color="auto"/>
        <w:right w:val="none" w:sz="0" w:space="0" w:color="auto"/>
      </w:divBdr>
    </w:div>
    <w:div w:id="864290875">
      <w:bodyDiv w:val="1"/>
      <w:marLeft w:val="0"/>
      <w:marRight w:val="0"/>
      <w:marTop w:val="0"/>
      <w:marBottom w:val="0"/>
      <w:divBdr>
        <w:top w:val="none" w:sz="0" w:space="0" w:color="auto"/>
        <w:left w:val="none" w:sz="0" w:space="0" w:color="auto"/>
        <w:bottom w:val="none" w:sz="0" w:space="0" w:color="auto"/>
        <w:right w:val="none" w:sz="0" w:space="0" w:color="auto"/>
      </w:divBdr>
    </w:div>
    <w:div w:id="876627854">
      <w:bodyDiv w:val="1"/>
      <w:marLeft w:val="0"/>
      <w:marRight w:val="0"/>
      <w:marTop w:val="0"/>
      <w:marBottom w:val="0"/>
      <w:divBdr>
        <w:top w:val="none" w:sz="0" w:space="0" w:color="auto"/>
        <w:left w:val="none" w:sz="0" w:space="0" w:color="auto"/>
        <w:bottom w:val="none" w:sz="0" w:space="0" w:color="auto"/>
        <w:right w:val="none" w:sz="0" w:space="0" w:color="auto"/>
      </w:divBdr>
    </w:div>
    <w:div w:id="879125008">
      <w:bodyDiv w:val="1"/>
      <w:marLeft w:val="0"/>
      <w:marRight w:val="0"/>
      <w:marTop w:val="0"/>
      <w:marBottom w:val="0"/>
      <w:divBdr>
        <w:top w:val="none" w:sz="0" w:space="0" w:color="auto"/>
        <w:left w:val="none" w:sz="0" w:space="0" w:color="auto"/>
        <w:bottom w:val="none" w:sz="0" w:space="0" w:color="auto"/>
        <w:right w:val="none" w:sz="0" w:space="0" w:color="auto"/>
      </w:divBdr>
      <w:divsChild>
        <w:div w:id="1017078765">
          <w:marLeft w:val="0"/>
          <w:marRight w:val="0"/>
          <w:marTop w:val="0"/>
          <w:marBottom w:val="0"/>
          <w:divBdr>
            <w:top w:val="none" w:sz="0" w:space="0" w:color="auto"/>
            <w:left w:val="none" w:sz="0" w:space="0" w:color="auto"/>
            <w:bottom w:val="none" w:sz="0" w:space="0" w:color="auto"/>
            <w:right w:val="none" w:sz="0" w:space="0" w:color="auto"/>
          </w:divBdr>
          <w:divsChild>
            <w:div w:id="1465079972">
              <w:marLeft w:val="0"/>
              <w:marRight w:val="0"/>
              <w:marTop w:val="0"/>
              <w:marBottom w:val="0"/>
              <w:divBdr>
                <w:top w:val="none" w:sz="0" w:space="0" w:color="auto"/>
                <w:left w:val="none" w:sz="0" w:space="0" w:color="auto"/>
                <w:bottom w:val="none" w:sz="0" w:space="0" w:color="auto"/>
                <w:right w:val="none" w:sz="0" w:space="0" w:color="auto"/>
              </w:divBdr>
              <w:divsChild>
                <w:div w:id="766267190">
                  <w:marLeft w:val="0"/>
                  <w:marRight w:val="0"/>
                  <w:marTop w:val="0"/>
                  <w:marBottom w:val="0"/>
                  <w:divBdr>
                    <w:top w:val="none" w:sz="0" w:space="0" w:color="auto"/>
                    <w:left w:val="none" w:sz="0" w:space="0" w:color="auto"/>
                    <w:bottom w:val="none" w:sz="0" w:space="0" w:color="auto"/>
                    <w:right w:val="none" w:sz="0" w:space="0" w:color="auto"/>
                  </w:divBdr>
                  <w:divsChild>
                    <w:div w:id="542716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747172">
          <w:marLeft w:val="0"/>
          <w:marRight w:val="0"/>
          <w:marTop w:val="0"/>
          <w:marBottom w:val="0"/>
          <w:divBdr>
            <w:top w:val="none" w:sz="0" w:space="0" w:color="auto"/>
            <w:left w:val="none" w:sz="0" w:space="0" w:color="auto"/>
            <w:bottom w:val="none" w:sz="0" w:space="0" w:color="auto"/>
            <w:right w:val="none" w:sz="0" w:space="0" w:color="auto"/>
          </w:divBdr>
          <w:divsChild>
            <w:div w:id="1809321888">
              <w:marLeft w:val="0"/>
              <w:marRight w:val="0"/>
              <w:marTop w:val="0"/>
              <w:marBottom w:val="0"/>
              <w:divBdr>
                <w:top w:val="none" w:sz="0" w:space="0" w:color="auto"/>
                <w:left w:val="none" w:sz="0" w:space="0" w:color="auto"/>
                <w:bottom w:val="none" w:sz="0" w:space="0" w:color="auto"/>
                <w:right w:val="none" w:sz="0" w:space="0" w:color="auto"/>
              </w:divBdr>
              <w:divsChild>
                <w:div w:id="1168791504">
                  <w:marLeft w:val="0"/>
                  <w:marRight w:val="0"/>
                  <w:marTop w:val="0"/>
                  <w:marBottom w:val="0"/>
                  <w:divBdr>
                    <w:top w:val="none" w:sz="0" w:space="0" w:color="auto"/>
                    <w:left w:val="none" w:sz="0" w:space="0" w:color="auto"/>
                    <w:bottom w:val="none" w:sz="0" w:space="0" w:color="auto"/>
                    <w:right w:val="none" w:sz="0" w:space="0" w:color="auto"/>
                  </w:divBdr>
                  <w:divsChild>
                    <w:div w:id="71554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9823706">
      <w:bodyDiv w:val="1"/>
      <w:marLeft w:val="0"/>
      <w:marRight w:val="0"/>
      <w:marTop w:val="0"/>
      <w:marBottom w:val="0"/>
      <w:divBdr>
        <w:top w:val="none" w:sz="0" w:space="0" w:color="auto"/>
        <w:left w:val="none" w:sz="0" w:space="0" w:color="auto"/>
        <w:bottom w:val="none" w:sz="0" w:space="0" w:color="auto"/>
        <w:right w:val="none" w:sz="0" w:space="0" w:color="auto"/>
      </w:divBdr>
    </w:div>
    <w:div w:id="908077933">
      <w:bodyDiv w:val="1"/>
      <w:marLeft w:val="0"/>
      <w:marRight w:val="0"/>
      <w:marTop w:val="0"/>
      <w:marBottom w:val="0"/>
      <w:divBdr>
        <w:top w:val="none" w:sz="0" w:space="0" w:color="auto"/>
        <w:left w:val="none" w:sz="0" w:space="0" w:color="auto"/>
        <w:bottom w:val="none" w:sz="0" w:space="0" w:color="auto"/>
        <w:right w:val="none" w:sz="0" w:space="0" w:color="auto"/>
      </w:divBdr>
    </w:div>
    <w:div w:id="909195168">
      <w:bodyDiv w:val="1"/>
      <w:marLeft w:val="0"/>
      <w:marRight w:val="0"/>
      <w:marTop w:val="0"/>
      <w:marBottom w:val="0"/>
      <w:divBdr>
        <w:top w:val="none" w:sz="0" w:space="0" w:color="auto"/>
        <w:left w:val="none" w:sz="0" w:space="0" w:color="auto"/>
        <w:bottom w:val="none" w:sz="0" w:space="0" w:color="auto"/>
        <w:right w:val="none" w:sz="0" w:space="0" w:color="auto"/>
      </w:divBdr>
    </w:div>
    <w:div w:id="933435428">
      <w:bodyDiv w:val="1"/>
      <w:marLeft w:val="0"/>
      <w:marRight w:val="0"/>
      <w:marTop w:val="0"/>
      <w:marBottom w:val="0"/>
      <w:divBdr>
        <w:top w:val="none" w:sz="0" w:space="0" w:color="auto"/>
        <w:left w:val="none" w:sz="0" w:space="0" w:color="auto"/>
        <w:bottom w:val="none" w:sz="0" w:space="0" w:color="auto"/>
        <w:right w:val="none" w:sz="0" w:space="0" w:color="auto"/>
      </w:divBdr>
    </w:div>
    <w:div w:id="947347699">
      <w:bodyDiv w:val="1"/>
      <w:marLeft w:val="0"/>
      <w:marRight w:val="0"/>
      <w:marTop w:val="0"/>
      <w:marBottom w:val="0"/>
      <w:divBdr>
        <w:top w:val="none" w:sz="0" w:space="0" w:color="auto"/>
        <w:left w:val="none" w:sz="0" w:space="0" w:color="auto"/>
        <w:bottom w:val="none" w:sz="0" w:space="0" w:color="auto"/>
        <w:right w:val="none" w:sz="0" w:space="0" w:color="auto"/>
      </w:divBdr>
    </w:div>
    <w:div w:id="951326801">
      <w:bodyDiv w:val="1"/>
      <w:marLeft w:val="0"/>
      <w:marRight w:val="0"/>
      <w:marTop w:val="0"/>
      <w:marBottom w:val="0"/>
      <w:divBdr>
        <w:top w:val="none" w:sz="0" w:space="0" w:color="auto"/>
        <w:left w:val="none" w:sz="0" w:space="0" w:color="auto"/>
        <w:bottom w:val="none" w:sz="0" w:space="0" w:color="auto"/>
        <w:right w:val="none" w:sz="0" w:space="0" w:color="auto"/>
      </w:divBdr>
    </w:div>
    <w:div w:id="957104606">
      <w:bodyDiv w:val="1"/>
      <w:marLeft w:val="0"/>
      <w:marRight w:val="0"/>
      <w:marTop w:val="0"/>
      <w:marBottom w:val="0"/>
      <w:divBdr>
        <w:top w:val="none" w:sz="0" w:space="0" w:color="auto"/>
        <w:left w:val="none" w:sz="0" w:space="0" w:color="auto"/>
        <w:bottom w:val="none" w:sz="0" w:space="0" w:color="auto"/>
        <w:right w:val="none" w:sz="0" w:space="0" w:color="auto"/>
      </w:divBdr>
    </w:div>
    <w:div w:id="964893884">
      <w:bodyDiv w:val="1"/>
      <w:marLeft w:val="0"/>
      <w:marRight w:val="0"/>
      <w:marTop w:val="0"/>
      <w:marBottom w:val="0"/>
      <w:divBdr>
        <w:top w:val="none" w:sz="0" w:space="0" w:color="auto"/>
        <w:left w:val="none" w:sz="0" w:space="0" w:color="auto"/>
        <w:bottom w:val="none" w:sz="0" w:space="0" w:color="auto"/>
        <w:right w:val="none" w:sz="0" w:space="0" w:color="auto"/>
      </w:divBdr>
    </w:div>
    <w:div w:id="984239222">
      <w:bodyDiv w:val="1"/>
      <w:marLeft w:val="0"/>
      <w:marRight w:val="0"/>
      <w:marTop w:val="0"/>
      <w:marBottom w:val="0"/>
      <w:divBdr>
        <w:top w:val="none" w:sz="0" w:space="0" w:color="auto"/>
        <w:left w:val="none" w:sz="0" w:space="0" w:color="auto"/>
        <w:bottom w:val="none" w:sz="0" w:space="0" w:color="auto"/>
        <w:right w:val="none" w:sz="0" w:space="0" w:color="auto"/>
      </w:divBdr>
    </w:div>
    <w:div w:id="994067193">
      <w:bodyDiv w:val="1"/>
      <w:marLeft w:val="0"/>
      <w:marRight w:val="0"/>
      <w:marTop w:val="0"/>
      <w:marBottom w:val="0"/>
      <w:divBdr>
        <w:top w:val="none" w:sz="0" w:space="0" w:color="auto"/>
        <w:left w:val="none" w:sz="0" w:space="0" w:color="auto"/>
        <w:bottom w:val="none" w:sz="0" w:space="0" w:color="auto"/>
        <w:right w:val="none" w:sz="0" w:space="0" w:color="auto"/>
      </w:divBdr>
    </w:div>
    <w:div w:id="999889274">
      <w:bodyDiv w:val="1"/>
      <w:marLeft w:val="0"/>
      <w:marRight w:val="0"/>
      <w:marTop w:val="0"/>
      <w:marBottom w:val="0"/>
      <w:divBdr>
        <w:top w:val="none" w:sz="0" w:space="0" w:color="auto"/>
        <w:left w:val="none" w:sz="0" w:space="0" w:color="auto"/>
        <w:bottom w:val="none" w:sz="0" w:space="0" w:color="auto"/>
        <w:right w:val="none" w:sz="0" w:space="0" w:color="auto"/>
      </w:divBdr>
    </w:div>
    <w:div w:id="1007902521">
      <w:bodyDiv w:val="1"/>
      <w:marLeft w:val="0"/>
      <w:marRight w:val="0"/>
      <w:marTop w:val="0"/>
      <w:marBottom w:val="0"/>
      <w:divBdr>
        <w:top w:val="none" w:sz="0" w:space="0" w:color="auto"/>
        <w:left w:val="none" w:sz="0" w:space="0" w:color="auto"/>
        <w:bottom w:val="none" w:sz="0" w:space="0" w:color="auto"/>
        <w:right w:val="none" w:sz="0" w:space="0" w:color="auto"/>
      </w:divBdr>
    </w:div>
    <w:div w:id="1011614020">
      <w:bodyDiv w:val="1"/>
      <w:marLeft w:val="0"/>
      <w:marRight w:val="0"/>
      <w:marTop w:val="0"/>
      <w:marBottom w:val="0"/>
      <w:divBdr>
        <w:top w:val="none" w:sz="0" w:space="0" w:color="auto"/>
        <w:left w:val="none" w:sz="0" w:space="0" w:color="auto"/>
        <w:bottom w:val="none" w:sz="0" w:space="0" w:color="auto"/>
        <w:right w:val="none" w:sz="0" w:space="0" w:color="auto"/>
      </w:divBdr>
    </w:div>
    <w:div w:id="1012338782">
      <w:bodyDiv w:val="1"/>
      <w:marLeft w:val="0"/>
      <w:marRight w:val="0"/>
      <w:marTop w:val="0"/>
      <w:marBottom w:val="0"/>
      <w:divBdr>
        <w:top w:val="none" w:sz="0" w:space="0" w:color="auto"/>
        <w:left w:val="none" w:sz="0" w:space="0" w:color="auto"/>
        <w:bottom w:val="none" w:sz="0" w:space="0" w:color="auto"/>
        <w:right w:val="none" w:sz="0" w:space="0" w:color="auto"/>
      </w:divBdr>
    </w:div>
    <w:div w:id="1023433445">
      <w:bodyDiv w:val="1"/>
      <w:marLeft w:val="0"/>
      <w:marRight w:val="0"/>
      <w:marTop w:val="0"/>
      <w:marBottom w:val="0"/>
      <w:divBdr>
        <w:top w:val="none" w:sz="0" w:space="0" w:color="auto"/>
        <w:left w:val="none" w:sz="0" w:space="0" w:color="auto"/>
        <w:bottom w:val="none" w:sz="0" w:space="0" w:color="auto"/>
        <w:right w:val="none" w:sz="0" w:space="0" w:color="auto"/>
      </w:divBdr>
    </w:div>
    <w:div w:id="1026830000">
      <w:bodyDiv w:val="1"/>
      <w:marLeft w:val="0"/>
      <w:marRight w:val="0"/>
      <w:marTop w:val="0"/>
      <w:marBottom w:val="0"/>
      <w:divBdr>
        <w:top w:val="none" w:sz="0" w:space="0" w:color="auto"/>
        <w:left w:val="none" w:sz="0" w:space="0" w:color="auto"/>
        <w:bottom w:val="none" w:sz="0" w:space="0" w:color="auto"/>
        <w:right w:val="none" w:sz="0" w:space="0" w:color="auto"/>
      </w:divBdr>
    </w:div>
    <w:div w:id="1028946594">
      <w:bodyDiv w:val="1"/>
      <w:marLeft w:val="0"/>
      <w:marRight w:val="0"/>
      <w:marTop w:val="0"/>
      <w:marBottom w:val="0"/>
      <w:divBdr>
        <w:top w:val="none" w:sz="0" w:space="0" w:color="auto"/>
        <w:left w:val="none" w:sz="0" w:space="0" w:color="auto"/>
        <w:bottom w:val="none" w:sz="0" w:space="0" w:color="auto"/>
        <w:right w:val="none" w:sz="0" w:space="0" w:color="auto"/>
      </w:divBdr>
    </w:div>
    <w:div w:id="1030689199">
      <w:bodyDiv w:val="1"/>
      <w:marLeft w:val="0"/>
      <w:marRight w:val="0"/>
      <w:marTop w:val="0"/>
      <w:marBottom w:val="0"/>
      <w:divBdr>
        <w:top w:val="none" w:sz="0" w:space="0" w:color="auto"/>
        <w:left w:val="none" w:sz="0" w:space="0" w:color="auto"/>
        <w:bottom w:val="none" w:sz="0" w:space="0" w:color="auto"/>
        <w:right w:val="none" w:sz="0" w:space="0" w:color="auto"/>
      </w:divBdr>
    </w:div>
    <w:div w:id="1031876558">
      <w:bodyDiv w:val="1"/>
      <w:marLeft w:val="0"/>
      <w:marRight w:val="0"/>
      <w:marTop w:val="0"/>
      <w:marBottom w:val="0"/>
      <w:divBdr>
        <w:top w:val="none" w:sz="0" w:space="0" w:color="auto"/>
        <w:left w:val="none" w:sz="0" w:space="0" w:color="auto"/>
        <w:bottom w:val="none" w:sz="0" w:space="0" w:color="auto"/>
        <w:right w:val="none" w:sz="0" w:space="0" w:color="auto"/>
      </w:divBdr>
    </w:div>
    <w:div w:id="1038353377">
      <w:bodyDiv w:val="1"/>
      <w:marLeft w:val="0"/>
      <w:marRight w:val="0"/>
      <w:marTop w:val="0"/>
      <w:marBottom w:val="0"/>
      <w:divBdr>
        <w:top w:val="none" w:sz="0" w:space="0" w:color="auto"/>
        <w:left w:val="none" w:sz="0" w:space="0" w:color="auto"/>
        <w:bottom w:val="none" w:sz="0" w:space="0" w:color="auto"/>
        <w:right w:val="none" w:sz="0" w:space="0" w:color="auto"/>
      </w:divBdr>
    </w:div>
    <w:div w:id="1042444694">
      <w:bodyDiv w:val="1"/>
      <w:marLeft w:val="0"/>
      <w:marRight w:val="0"/>
      <w:marTop w:val="0"/>
      <w:marBottom w:val="0"/>
      <w:divBdr>
        <w:top w:val="none" w:sz="0" w:space="0" w:color="auto"/>
        <w:left w:val="none" w:sz="0" w:space="0" w:color="auto"/>
        <w:bottom w:val="none" w:sz="0" w:space="0" w:color="auto"/>
        <w:right w:val="none" w:sz="0" w:space="0" w:color="auto"/>
      </w:divBdr>
    </w:div>
    <w:div w:id="1044597936">
      <w:bodyDiv w:val="1"/>
      <w:marLeft w:val="0"/>
      <w:marRight w:val="0"/>
      <w:marTop w:val="0"/>
      <w:marBottom w:val="0"/>
      <w:divBdr>
        <w:top w:val="none" w:sz="0" w:space="0" w:color="auto"/>
        <w:left w:val="none" w:sz="0" w:space="0" w:color="auto"/>
        <w:bottom w:val="none" w:sz="0" w:space="0" w:color="auto"/>
        <w:right w:val="none" w:sz="0" w:space="0" w:color="auto"/>
      </w:divBdr>
    </w:div>
    <w:div w:id="1048187174">
      <w:bodyDiv w:val="1"/>
      <w:marLeft w:val="0"/>
      <w:marRight w:val="0"/>
      <w:marTop w:val="0"/>
      <w:marBottom w:val="0"/>
      <w:divBdr>
        <w:top w:val="none" w:sz="0" w:space="0" w:color="auto"/>
        <w:left w:val="none" w:sz="0" w:space="0" w:color="auto"/>
        <w:bottom w:val="none" w:sz="0" w:space="0" w:color="auto"/>
        <w:right w:val="none" w:sz="0" w:space="0" w:color="auto"/>
      </w:divBdr>
    </w:div>
    <w:div w:id="1061437979">
      <w:bodyDiv w:val="1"/>
      <w:marLeft w:val="0"/>
      <w:marRight w:val="0"/>
      <w:marTop w:val="0"/>
      <w:marBottom w:val="0"/>
      <w:divBdr>
        <w:top w:val="none" w:sz="0" w:space="0" w:color="auto"/>
        <w:left w:val="none" w:sz="0" w:space="0" w:color="auto"/>
        <w:bottom w:val="none" w:sz="0" w:space="0" w:color="auto"/>
        <w:right w:val="none" w:sz="0" w:space="0" w:color="auto"/>
      </w:divBdr>
    </w:div>
    <w:div w:id="1068310691">
      <w:bodyDiv w:val="1"/>
      <w:marLeft w:val="0"/>
      <w:marRight w:val="0"/>
      <w:marTop w:val="0"/>
      <w:marBottom w:val="0"/>
      <w:divBdr>
        <w:top w:val="none" w:sz="0" w:space="0" w:color="auto"/>
        <w:left w:val="none" w:sz="0" w:space="0" w:color="auto"/>
        <w:bottom w:val="none" w:sz="0" w:space="0" w:color="auto"/>
        <w:right w:val="none" w:sz="0" w:space="0" w:color="auto"/>
      </w:divBdr>
    </w:div>
    <w:div w:id="1071317890">
      <w:bodyDiv w:val="1"/>
      <w:marLeft w:val="0"/>
      <w:marRight w:val="0"/>
      <w:marTop w:val="0"/>
      <w:marBottom w:val="0"/>
      <w:divBdr>
        <w:top w:val="none" w:sz="0" w:space="0" w:color="auto"/>
        <w:left w:val="none" w:sz="0" w:space="0" w:color="auto"/>
        <w:bottom w:val="none" w:sz="0" w:space="0" w:color="auto"/>
        <w:right w:val="none" w:sz="0" w:space="0" w:color="auto"/>
      </w:divBdr>
    </w:div>
    <w:div w:id="1075857808">
      <w:bodyDiv w:val="1"/>
      <w:marLeft w:val="0"/>
      <w:marRight w:val="0"/>
      <w:marTop w:val="0"/>
      <w:marBottom w:val="0"/>
      <w:divBdr>
        <w:top w:val="none" w:sz="0" w:space="0" w:color="auto"/>
        <w:left w:val="none" w:sz="0" w:space="0" w:color="auto"/>
        <w:bottom w:val="none" w:sz="0" w:space="0" w:color="auto"/>
        <w:right w:val="none" w:sz="0" w:space="0" w:color="auto"/>
      </w:divBdr>
    </w:div>
    <w:div w:id="1090391998">
      <w:bodyDiv w:val="1"/>
      <w:marLeft w:val="0"/>
      <w:marRight w:val="0"/>
      <w:marTop w:val="0"/>
      <w:marBottom w:val="0"/>
      <w:divBdr>
        <w:top w:val="none" w:sz="0" w:space="0" w:color="auto"/>
        <w:left w:val="none" w:sz="0" w:space="0" w:color="auto"/>
        <w:bottom w:val="none" w:sz="0" w:space="0" w:color="auto"/>
        <w:right w:val="none" w:sz="0" w:space="0" w:color="auto"/>
      </w:divBdr>
    </w:div>
    <w:div w:id="1092896914">
      <w:bodyDiv w:val="1"/>
      <w:marLeft w:val="0"/>
      <w:marRight w:val="0"/>
      <w:marTop w:val="0"/>
      <w:marBottom w:val="0"/>
      <w:divBdr>
        <w:top w:val="none" w:sz="0" w:space="0" w:color="auto"/>
        <w:left w:val="none" w:sz="0" w:space="0" w:color="auto"/>
        <w:bottom w:val="none" w:sz="0" w:space="0" w:color="auto"/>
        <w:right w:val="none" w:sz="0" w:space="0" w:color="auto"/>
      </w:divBdr>
      <w:divsChild>
        <w:div w:id="845947341">
          <w:marLeft w:val="0"/>
          <w:marRight w:val="0"/>
          <w:marTop w:val="0"/>
          <w:marBottom w:val="0"/>
          <w:divBdr>
            <w:top w:val="none" w:sz="0" w:space="0" w:color="auto"/>
            <w:left w:val="none" w:sz="0" w:space="0" w:color="auto"/>
            <w:bottom w:val="none" w:sz="0" w:space="0" w:color="auto"/>
            <w:right w:val="none" w:sz="0" w:space="0" w:color="auto"/>
          </w:divBdr>
          <w:divsChild>
            <w:div w:id="1574702372">
              <w:marLeft w:val="0"/>
              <w:marRight w:val="0"/>
              <w:marTop w:val="0"/>
              <w:marBottom w:val="0"/>
              <w:divBdr>
                <w:top w:val="none" w:sz="0" w:space="0" w:color="auto"/>
                <w:left w:val="none" w:sz="0" w:space="0" w:color="auto"/>
                <w:bottom w:val="none" w:sz="0" w:space="0" w:color="auto"/>
                <w:right w:val="none" w:sz="0" w:space="0" w:color="auto"/>
              </w:divBdr>
              <w:divsChild>
                <w:div w:id="1192185514">
                  <w:marLeft w:val="0"/>
                  <w:marRight w:val="0"/>
                  <w:marTop w:val="0"/>
                  <w:marBottom w:val="0"/>
                  <w:divBdr>
                    <w:top w:val="none" w:sz="0" w:space="0" w:color="auto"/>
                    <w:left w:val="none" w:sz="0" w:space="0" w:color="auto"/>
                    <w:bottom w:val="none" w:sz="0" w:space="0" w:color="auto"/>
                    <w:right w:val="none" w:sz="0" w:space="0" w:color="auto"/>
                  </w:divBdr>
                  <w:divsChild>
                    <w:div w:id="808206736">
                      <w:marLeft w:val="0"/>
                      <w:marRight w:val="0"/>
                      <w:marTop w:val="0"/>
                      <w:marBottom w:val="0"/>
                      <w:divBdr>
                        <w:top w:val="none" w:sz="0" w:space="0" w:color="auto"/>
                        <w:left w:val="none" w:sz="0" w:space="0" w:color="auto"/>
                        <w:bottom w:val="none" w:sz="0" w:space="0" w:color="auto"/>
                        <w:right w:val="none" w:sz="0" w:space="0" w:color="auto"/>
                      </w:divBdr>
                      <w:divsChild>
                        <w:div w:id="429351974">
                          <w:marLeft w:val="0"/>
                          <w:marRight w:val="0"/>
                          <w:marTop w:val="0"/>
                          <w:marBottom w:val="0"/>
                          <w:divBdr>
                            <w:top w:val="none" w:sz="0" w:space="0" w:color="auto"/>
                            <w:left w:val="none" w:sz="0" w:space="0" w:color="auto"/>
                            <w:bottom w:val="none" w:sz="0" w:space="0" w:color="auto"/>
                            <w:right w:val="none" w:sz="0" w:space="0" w:color="auto"/>
                          </w:divBdr>
                          <w:divsChild>
                            <w:div w:id="119669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4940566">
      <w:bodyDiv w:val="1"/>
      <w:marLeft w:val="0"/>
      <w:marRight w:val="0"/>
      <w:marTop w:val="0"/>
      <w:marBottom w:val="0"/>
      <w:divBdr>
        <w:top w:val="none" w:sz="0" w:space="0" w:color="auto"/>
        <w:left w:val="none" w:sz="0" w:space="0" w:color="auto"/>
        <w:bottom w:val="none" w:sz="0" w:space="0" w:color="auto"/>
        <w:right w:val="none" w:sz="0" w:space="0" w:color="auto"/>
      </w:divBdr>
    </w:div>
    <w:div w:id="1101487486">
      <w:bodyDiv w:val="1"/>
      <w:marLeft w:val="0"/>
      <w:marRight w:val="0"/>
      <w:marTop w:val="0"/>
      <w:marBottom w:val="0"/>
      <w:divBdr>
        <w:top w:val="none" w:sz="0" w:space="0" w:color="auto"/>
        <w:left w:val="none" w:sz="0" w:space="0" w:color="auto"/>
        <w:bottom w:val="none" w:sz="0" w:space="0" w:color="auto"/>
        <w:right w:val="none" w:sz="0" w:space="0" w:color="auto"/>
      </w:divBdr>
    </w:div>
    <w:div w:id="1110202806">
      <w:bodyDiv w:val="1"/>
      <w:marLeft w:val="0"/>
      <w:marRight w:val="0"/>
      <w:marTop w:val="0"/>
      <w:marBottom w:val="0"/>
      <w:divBdr>
        <w:top w:val="none" w:sz="0" w:space="0" w:color="auto"/>
        <w:left w:val="none" w:sz="0" w:space="0" w:color="auto"/>
        <w:bottom w:val="none" w:sz="0" w:space="0" w:color="auto"/>
        <w:right w:val="none" w:sz="0" w:space="0" w:color="auto"/>
      </w:divBdr>
    </w:div>
    <w:div w:id="1115903249">
      <w:bodyDiv w:val="1"/>
      <w:marLeft w:val="0"/>
      <w:marRight w:val="0"/>
      <w:marTop w:val="0"/>
      <w:marBottom w:val="0"/>
      <w:divBdr>
        <w:top w:val="none" w:sz="0" w:space="0" w:color="auto"/>
        <w:left w:val="none" w:sz="0" w:space="0" w:color="auto"/>
        <w:bottom w:val="none" w:sz="0" w:space="0" w:color="auto"/>
        <w:right w:val="none" w:sz="0" w:space="0" w:color="auto"/>
      </w:divBdr>
    </w:div>
    <w:div w:id="1116870976">
      <w:bodyDiv w:val="1"/>
      <w:marLeft w:val="0"/>
      <w:marRight w:val="0"/>
      <w:marTop w:val="0"/>
      <w:marBottom w:val="0"/>
      <w:divBdr>
        <w:top w:val="none" w:sz="0" w:space="0" w:color="auto"/>
        <w:left w:val="none" w:sz="0" w:space="0" w:color="auto"/>
        <w:bottom w:val="none" w:sz="0" w:space="0" w:color="auto"/>
        <w:right w:val="none" w:sz="0" w:space="0" w:color="auto"/>
      </w:divBdr>
    </w:div>
    <w:div w:id="1120032911">
      <w:bodyDiv w:val="1"/>
      <w:marLeft w:val="0"/>
      <w:marRight w:val="0"/>
      <w:marTop w:val="0"/>
      <w:marBottom w:val="0"/>
      <w:divBdr>
        <w:top w:val="none" w:sz="0" w:space="0" w:color="auto"/>
        <w:left w:val="none" w:sz="0" w:space="0" w:color="auto"/>
        <w:bottom w:val="none" w:sz="0" w:space="0" w:color="auto"/>
        <w:right w:val="none" w:sz="0" w:space="0" w:color="auto"/>
      </w:divBdr>
    </w:div>
    <w:div w:id="1127814685">
      <w:bodyDiv w:val="1"/>
      <w:marLeft w:val="0"/>
      <w:marRight w:val="0"/>
      <w:marTop w:val="0"/>
      <w:marBottom w:val="0"/>
      <w:divBdr>
        <w:top w:val="none" w:sz="0" w:space="0" w:color="auto"/>
        <w:left w:val="none" w:sz="0" w:space="0" w:color="auto"/>
        <w:bottom w:val="none" w:sz="0" w:space="0" w:color="auto"/>
        <w:right w:val="none" w:sz="0" w:space="0" w:color="auto"/>
      </w:divBdr>
    </w:div>
    <w:div w:id="1134836596">
      <w:bodyDiv w:val="1"/>
      <w:marLeft w:val="0"/>
      <w:marRight w:val="0"/>
      <w:marTop w:val="0"/>
      <w:marBottom w:val="0"/>
      <w:divBdr>
        <w:top w:val="none" w:sz="0" w:space="0" w:color="auto"/>
        <w:left w:val="none" w:sz="0" w:space="0" w:color="auto"/>
        <w:bottom w:val="none" w:sz="0" w:space="0" w:color="auto"/>
        <w:right w:val="none" w:sz="0" w:space="0" w:color="auto"/>
      </w:divBdr>
    </w:div>
    <w:div w:id="1143621273">
      <w:bodyDiv w:val="1"/>
      <w:marLeft w:val="0"/>
      <w:marRight w:val="0"/>
      <w:marTop w:val="0"/>
      <w:marBottom w:val="0"/>
      <w:divBdr>
        <w:top w:val="none" w:sz="0" w:space="0" w:color="auto"/>
        <w:left w:val="none" w:sz="0" w:space="0" w:color="auto"/>
        <w:bottom w:val="none" w:sz="0" w:space="0" w:color="auto"/>
        <w:right w:val="none" w:sz="0" w:space="0" w:color="auto"/>
      </w:divBdr>
    </w:div>
    <w:div w:id="1151631194">
      <w:bodyDiv w:val="1"/>
      <w:marLeft w:val="0"/>
      <w:marRight w:val="0"/>
      <w:marTop w:val="0"/>
      <w:marBottom w:val="0"/>
      <w:divBdr>
        <w:top w:val="none" w:sz="0" w:space="0" w:color="auto"/>
        <w:left w:val="none" w:sz="0" w:space="0" w:color="auto"/>
        <w:bottom w:val="none" w:sz="0" w:space="0" w:color="auto"/>
        <w:right w:val="none" w:sz="0" w:space="0" w:color="auto"/>
      </w:divBdr>
    </w:div>
    <w:div w:id="1155797189">
      <w:bodyDiv w:val="1"/>
      <w:marLeft w:val="0"/>
      <w:marRight w:val="0"/>
      <w:marTop w:val="0"/>
      <w:marBottom w:val="0"/>
      <w:divBdr>
        <w:top w:val="none" w:sz="0" w:space="0" w:color="auto"/>
        <w:left w:val="none" w:sz="0" w:space="0" w:color="auto"/>
        <w:bottom w:val="none" w:sz="0" w:space="0" w:color="auto"/>
        <w:right w:val="none" w:sz="0" w:space="0" w:color="auto"/>
      </w:divBdr>
    </w:div>
    <w:div w:id="1156528594">
      <w:bodyDiv w:val="1"/>
      <w:marLeft w:val="0"/>
      <w:marRight w:val="0"/>
      <w:marTop w:val="0"/>
      <w:marBottom w:val="0"/>
      <w:divBdr>
        <w:top w:val="none" w:sz="0" w:space="0" w:color="auto"/>
        <w:left w:val="none" w:sz="0" w:space="0" w:color="auto"/>
        <w:bottom w:val="none" w:sz="0" w:space="0" w:color="auto"/>
        <w:right w:val="none" w:sz="0" w:space="0" w:color="auto"/>
      </w:divBdr>
    </w:div>
    <w:div w:id="1159273387">
      <w:bodyDiv w:val="1"/>
      <w:marLeft w:val="0"/>
      <w:marRight w:val="0"/>
      <w:marTop w:val="0"/>
      <w:marBottom w:val="0"/>
      <w:divBdr>
        <w:top w:val="none" w:sz="0" w:space="0" w:color="auto"/>
        <w:left w:val="none" w:sz="0" w:space="0" w:color="auto"/>
        <w:bottom w:val="none" w:sz="0" w:space="0" w:color="auto"/>
        <w:right w:val="none" w:sz="0" w:space="0" w:color="auto"/>
      </w:divBdr>
    </w:div>
    <w:div w:id="1172332805">
      <w:bodyDiv w:val="1"/>
      <w:marLeft w:val="0"/>
      <w:marRight w:val="0"/>
      <w:marTop w:val="0"/>
      <w:marBottom w:val="0"/>
      <w:divBdr>
        <w:top w:val="none" w:sz="0" w:space="0" w:color="auto"/>
        <w:left w:val="none" w:sz="0" w:space="0" w:color="auto"/>
        <w:bottom w:val="none" w:sz="0" w:space="0" w:color="auto"/>
        <w:right w:val="none" w:sz="0" w:space="0" w:color="auto"/>
      </w:divBdr>
    </w:div>
    <w:div w:id="1176723168">
      <w:bodyDiv w:val="1"/>
      <w:marLeft w:val="0"/>
      <w:marRight w:val="0"/>
      <w:marTop w:val="0"/>
      <w:marBottom w:val="0"/>
      <w:divBdr>
        <w:top w:val="none" w:sz="0" w:space="0" w:color="auto"/>
        <w:left w:val="none" w:sz="0" w:space="0" w:color="auto"/>
        <w:bottom w:val="none" w:sz="0" w:space="0" w:color="auto"/>
        <w:right w:val="none" w:sz="0" w:space="0" w:color="auto"/>
      </w:divBdr>
    </w:div>
    <w:div w:id="1186870242">
      <w:bodyDiv w:val="1"/>
      <w:marLeft w:val="0"/>
      <w:marRight w:val="0"/>
      <w:marTop w:val="0"/>
      <w:marBottom w:val="0"/>
      <w:divBdr>
        <w:top w:val="none" w:sz="0" w:space="0" w:color="auto"/>
        <w:left w:val="none" w:sz="0" w:space="0" w:color="auto"/>
        <w:bottom w:val="none" w:sz="0" w:space="0" w:color="auto"/>
        <w:right w:val="none" w:sz="0" w:space="0" w:color="auto"/>
      </w:divBdr>
    </w:div>
    <w:div w:id="1196843824">
      <w:bodyDiv w:val="1"/>
      <w:marLeft w:val="0"/>
      <w:marRight w:val="0"/>
      <w:marTop w:val="0"/>
      <w:marBottom w:val="0"/>
      <w:divBdr>
        <w:top w:val="none" w:sz="0" w:space="0" w:color="auto"/>
        <w:left w:val="none" w:sz="0" w:space="0" w:color="auto"/>
        <w:bottom w:val="none" w:sz="0" w:space="0" w:color="auto"/>
        <w:right w:val="none" w:sz="0" w:space="0" w:color="auto"/>
      </w:divBdr>
    </w:div>
    <w:div w:id="1205482258">
      <w:bodyDiv w:val="1"/>
      <w:marLeft w:val="0"/>
      <w:marRight w:val="0"/>
      <w:marTop w:val="0"/>
      <w:marBottom w:val="0"/>
      <w:divBdr>
        <w:top w:val="none" w:sz="0" w:space="0" w:color="auto"/>
        <w:left w:val="none" w:sz="0" w:space="0" w:color="auto"/>
        <w:bottom w:val="none" w:sz="0" w:space="0" w:color="auto"/>
        <w:right w:val="none" w:sz="0" w:space="0" w:color="auto"/>
      </w:divBdr>
    </w:div>
    <w:div w:id="1220901557">
      <w:bodyDiv w:val="1"/>
      <w:marLeft w:val="0"/>
      <w:marRight w:val="0"/>
      <w:marTop w:val="0"/>
      <w:marBottom w:val="0"/>
      <w:divBdr>
        <w:top w:val="none" w:sz="0" w:space="0" w:color="auto"/>
        <w:left w:val="none" w:sz="0" w:space="0" w:color="auto"/>
        <w:bottom w:val="none" w:sz="0" w:space="0" w:color="auto"/>
        <w:right w:val="none" w:sz="0" w:space="0" w:color="auto"/>
      </w:divBdr>
    </w:div>
    <w:div w:id="1225801277">
      <w:bodyDiv w:val="1"/>
      <w:marLeft w:val="0"/>
      <w:marRight w:val="0"/>
      <w:marTop w:val="0"/>
      <w:marBottom w:val="0"/>
      <w:divBdr>
        <w:top w:val="none" w:sz="0" w:space="0" w:color="auto"/>
        <w:left w:val="none" w:sz="0" w:space="0" w:color="auto"/>
        <w:bottom w:val="none" w:sz="0" w:space="0" w:color="auto"/>
        <w:right w:val="none" w:sz="0" w:space="0" w:color="auto"/>
      </w:divBdr>
    </w:div>
    <w:div w:id="1228224142">
      <w:bodyDiv w:val="1"/>
      <w:marLeft w:val="0"/>
      <w:marRight w:val="0"/>
      <w:marTop w:val="0"/>
      <w:marBottom w:val="0"/>
      <w:divBdr>
        <w:top w:val="none" w:sz="0" w:space="0" w:color="auto"/>
        <w:left w:val="none" w:sz="0" w:space="0" w:color="auto"/>
        <w:bottom w:val="none" w:sz="0" w:space="0" w:color="auto"/>
        <w:right w:val="none" w:sz="0" w:space="0" w:color="auto"/>
      </w:divBdr>
    </w:div>
    <w:div w:id="1234008711">
      <w:bodyDiv w:val="1"/>
      <w:marLeft w:val="0"/>
      <w:marRight w:val="0"/>
      <w:marTop w:val="0"/>
      <w:marBottom w:val="0"/>
      <w:divBdr>
        <w:top w:val="none" w:sz="0" w:space="0" w:color="auto"/>
        <w:left w:val="none" w:sz="0" w:space="0" w:color="auto"/>
        <w:bottom w:val="none" w:sz="0" w:space="0" w:color="auto"/>
        <w:right w:val="none" w:sz="0" w:space="0" w:color="auto"/>
      </w:divBdr>
      <w:divsChild>
        <w:div w:id="881480655">
          <w:marLeft w:val="0"/>
          <w:marRight w:val="0"/>
          <w:marTop w:val="0"/>
          <w:marBottom w:val="0"/>
          <w:divBdr>
            <w:top w:val="none" w:sz="0" w:space="0" w:color="auto"/>
            <w:left w:val="none" w:sz="0" w:space="0" w:color="auto"/>
            <w:bottom w:val="none" w:sz="0" w:space="0" w:color="auto"/>
            <w:right w:val="none" w:sz="0" w:space="0" w:color="auto"/>
          </w:divBdr>
          <w:divsChild>
            <w:div w:id="614293492">
              <w:marLeft w:val="0"/>
              <w:marRight w:val="0"/>
              <w:marTop w:val="0"/>
              <w:marBottom w:val="0"/>
              <w:divBdr>
                <w:top w:val="none" w:sz="0" w:space="0" w:color="auto"/>
                <w:left w:val="none" w:sz="0" w:space="0" w:color="auto"/>
                <w:bottom w:val="none" w:sz="0" w:space="0" w:color="auto"/>
                <w:right w:val="none" w:sz="0" w:space="0" w:color="auto"/>
              </w:divBdr>
              <w:divsChild>
                <w:div w:id="2063091661">
                  <w:marLeft w:val="0"/>
                  <w:marRight w:val="0"/>
                  <w:marTop w:val="0"/>
                  <w:marBottom w:val="0"/>
                  <w:divBdr>
                    <w:top w:val="none" w:sz="0" w:space="0" w:color="auto"/>
                    <w:left w:val="none" w:sz="0" w:space="0" w:color="auto"/>
                    <w:bottom w:val="none" w:sz="0" w:space="0" w:color="auto"/>
                    <w:right w:val="none" w:sz="0" w:space="0" w:color="auto"/>
                  </w:divBdr>
                  <w:divsChild>
                    <w:div w:id="1350137264">
                      <w:marLeft w:val="0"/>
                      <w:marRight w:val="0"/>
                      <w:marTop w:val="0"/>
                      <w:marBottom w:val="0"/>
                      <w:divBdr>
                        <w:top w:val="none" w:sz="0" w:space="0" w:color="auto"/>
                        <w:left w:val="none" w:sz="0" w:space="0" w:color="auto"/>
                        <w:bottom w:val="none" w:sz="0" w:space="0" w:color="auto"/>
                        <w:right w:val="none" w:sz="0" w:space="0" w:color="auto"/>
                      </w:divBdr>
                      <w:divsChild>
                        <w:div w:id="155846402">
                          <w:marLeft w:val="0"/>
                          <w:marRight w:val="0"/>
                          <w:marTop w:val="0"/>
                          <w:marBottom w:val="0"/>
                          <w:divBdr>
                            <w:top w:val="none" w:sz="0" w:space="0" w:color="auto"/>
                            <w:left w:val="none" w:sz="0" w:space="0" w:color="auto"/>
                            <w:bottom w:val="none" w:sz="0" w:space="0" w:color="auto"/>
                            <w:right w:val="none" w:sz="0" w:space="0" w:color="auto"/>
                          </w:divBdr>
                          <w:divsChild>
                            <w:div w:id="44966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6160961">
      <w:bodyDiv w:val="1"/>
      <w:marLeft w:val="0"/>
      <w:marRight w:val="0"/>
      <w:marTop w:val="0"/>
      <w:marBottom w:val="0"/>
      <w:divBdr>
        <w:top w:val="none" w:sz="0" w:space="0" w:color="auto"/>
        <w:left w:val="none" w:sz="0" w:space="0" w:color="auto"/>
        <w:bottom w:val="none" w:sz="0" w:space="0" w:color="auto"/>
        <w:right w:val="none" w:sz="0" w:space="0" w:color="auto"/>
      </w:divBdr>
    </w:div>
    <w:div w:id="1237548216">
      <w:bodyDiv w:val="1"/>
      <w:marLeft w:val="0"/>
      <w:marRight w:val="0"/>
      <w:marTop w:val="0"/>
      <w:marBottom w:val="0"/>
      <w:divBdr>
        <w:top w:val="none" w:sz="0" w:space="0" w:color="auto"/>
        <w:left w:val="none" w:sz="0" w:space="0" w:color="auto"/>
        <w:bottom w:val="none" w:sz="0" w:space="0" w:color="auto"/>
        <w:right w:val="none" w:sz="0" w:space="0" w:color="auto"/>
      </w:divBdr>
    </w:div>
    <w:div w:id="1246455036">
      <w:bodyDiv w:val="1"/>
      <w:marLeft w:val="0"/>
      <w:marRight w:val="0"/>
      <w:marTop w:val="0"/>
      <w:marBottom w:val="0"/>
      <w:divBdr>
        <w:top w:val="none" w:sz="0" w:space="0" w:color="auto"/>
        <w:left w:val="none" w:sz="0" w:space="0" w:color="auto"/>
        <w:bottom w:val="none" w:sz="0" w:space="0" w:color="auto"/>
        <w:right w:val="none" w:sz="0" w:space="0" w:color="auto"/>
      </w:divBdr>
    </w:div>
    <w:div w:id="1250383360">
      <w:bodyDiv w:val="1"/>
      <w:marLeft w:val="0"/>
      <w:marRight w:val="0"/>
      <w:marTop w:val="0"/>
      <w:marBottom w:val="0"/>
      <w:divBdr>
        <w:top w:val="none" w:sz="0" w:space="0" w:color="auto"/>
        <w:left w:val="none" w:sz="0" w:space="0" w:color="auto"/>
        <w:bottom w:val="none" w:sz="0" w:space="0" w:color="auto"/>
        <w:right w:val="none" w:sz="0" w:space="0" w:color="auto"/>
      </w:divBdr>
    </w:div>
    <w:div w:id="1252931027">
      <w:bodyDiv w:val="1"/>
      <w:marLeft w:val="0"/>
      <w:marRight w:val="0"/>
      <w:marTop w:val="0"/>
      <w:marBottom w:val="0"/>
      <w:divBdr>
        <w:top w:val="none" w:sz="0" w:space="0" w:color="auto"/>
        <w:left w:val="none" w:sz="0" w:space="0" w:color="auto"/>
        <w:bottom w:val="none" w:sz="0" w:space="0" w:color="auto"/>
        <w:right w:val="none" w:sz="0" w:space="0" w:color="auto"/>
      </w:divBdr>
    </w:div>
    <w:div w:id="1257712473">
      <w:bodyDiv w:val="1"/>
      <w:marLeft w:val="0"/>
      <w:marRight w:val="0"/>
      <w:marTop w:val="0"/>
      <w:marBottom w:val="0"/>
      <w:divBdr>
        <w:top w:val="none" w:sz="0" w:space="0" w:color="auto"/>
        <w:left w:val="none" w:sz="0" w:space="0" w:color="auto"/>
        <w:bottom w:val="none" w:sz="0" w:space="0" w:color="auto"/>
        <w:right w:val="none" w:sz="0" w:space="0" w:color="auto"/>
      </w:divBdr>
    </w:div>
    <w:div w:id="1258253677">
      <w:bodyDiv w:val="1"/>
      <w:marLeft w:val="0"/>
      <w:marRight w:val="0"/>
      <w:marTop w:val="0"/>
      <w:marBottom w:val="0"/>
      <w:divBdr>
        <w:top w:val="none" w:sz="0" w:space="0" w:color="auto"/>
        <w:left w:val="none" w:sz="0" w:space="0" w:color="auto"/>
        <w:bottom w:val="none" w:sz="0" w:space="0" w:color="auto"/>
        <w:right w:val="none" w:sz="0" w:space="0" w:color="auto"/>
      </w:divBdr>
    </w:div>
    <w:div w:id="1261913838">
      <w:bodyDiv w:val="1"/>
      <w:marLeft w:val="0"/>
      <w:marRight w:val="0"/>
      <w:marTop w:val="0"/>
      <w:marBottom w:val="0"/>
      <w:divBdr>
        <w:top w:val="none" w:sz="0" w:space="0" w:color="auto"/>
        <w:left w:val="none" w:sz="0" w:space="0" w:color="auto"/>
        <w:bottom w:val="none" w:sz="0" w:space="0" w:color="auto"/>
        <w:right w:val="none" w:sz="0" w:space="0" w:color="auto"/>
      </w:divBdr>
    </w:div>
    <w:div w:id="1280264115">
      <w:bodyDiv w:val="1"/>
      <w:marLeft w:val="0"/>
      <w:marRight w:val="0"/>
      <w:marTop w:val="0"/>
      <w:marBottom w:val="0"/>
      <w:divBdr>
        <w:top w:val="none" w:sz="0" w:space="0" w:color="auto"/>
        <w:left w:val="none" w:sz="0" w:space="0" w:color="auto"/>
        <w:bottom w:val="none" w:sz="0" w:space="0" w:color="auto"/>
        <w:right w:val="none" w:sz="0" w:space="0" w:color="auto"/>
      </w:divBdr>
      <w:divsChild>
        <w:div w:id="1622758308">
          <w:marLeft w:val="0"/>
          <w:marRight w:val="0"/>
          <w:marTop w:val="0"/>
          <w:marBottom w:val="0"/>
          <w:divBdr>
            <w:top w:val="none" w:sz="0" w:space="0" w:color="auto"/>
            <w:left w:val="none" w:sz="0" w:space="0" w:color="auto"/>
            <w:bottom w:val="none" w:sz="0" w:space="0" w:color="auto"/>
            <w:right w:val="none" w:sz="0" w:space="0" w:color="auto"/>
          </w:divBdr>
          <w:divsChild>
            <w:div w:id="687875300">
              <w:marLeft w:val="0"/>
              <w:marRight w:val="0"/>
              <w:marTop w:val="0"/>
              <w:marBottom w:val="0"/>
              <w:divBdr>
                <w:top w:val="none" w:sz="0" w:space="0" w:color="auto"/>
                <w:left w:val="none" w:sz="0" w:space="0" w:color="auto"/>
                <w:bottom w:val="none" w:sz="0" w:space="0" w:color="auto"/>
                <w:right w:val="none" w:sz="0" w:space="0" w:color="auto"/>
              </w:divBdr>
              <w:divsChild>
                <w:div w:id="837891363">
                  <w:marLeft w:val="0"/>
                  <w:marRight w:val="0"/>
                  <w:marTop w:val="0"/>
                  <w:marBottom w:val="0"/>
                  <w:divBdr>
                    <w:top w:val="none" w:sz="0" w:space="0" w:color="auto"/>
                    <w:left w:val="none" w:sz="0" w:space="0" w:color="auto"/>
                    <w:bottom w:val="none" w:sz="0" w:space="0" w:color="auto"/>
                    <w:right w:val="none" w:sz="0" w:space="0" w:color="auto"/>
                  </w:divBdr>
                  <w:divsChild>
                    <w:div w:id="2017606548">
                      <w:marLeft w:val="0"/>
                      <w:marRight w:val="0"/>
                      <w:marTop w:val="0"/>
                      <w:marBottom w:val="0"/>
                      <w:divBdr>
                        <w:top w:val="none" w:sz="0" w:space="0" w:color="auto"/>
                        <w:left w:val="none" w:sz="0" w:space="0" w:color="auto"/>
                        <w:bottom w:val="none" w:sz="0" w:space="0" w:color="auto"/>
                        <w:right w:val="none" w:sz="0" w:space="0" w:color="auto"/>
                      </w:divBdr>
                      <w:divsChild>
                        <w:div w:id="1618560822">
                          <w:marLeft w:val="0"/>
                          <w:marRight w:val="0"/>
                          <w:marTop w:val="0"/>
                          <w:marBottom w:val="0"/>
                          <w:divBdr>
                            <w:top w:val="none" w:sz="0" w:space="0" w:color="auto"/>
                            <w:left w:val="none" w:sz="0" w:space="0" w:color="auto"/>
                            <w:bottom w:val="none" w:sz="0" w:space="0" w:color="auto"/>
                            <w:right w:val="none" w:sz="0" w:space="0" w:color="auto"/>
                          </w:divBdr>
                          <w:divsChild>
                            <w:div w:id="123682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960387">
      <w:bodyDiv w:val="1"/>
      <w:marLeft w:val="0"/>
      <w:marRight w:val="0"/>
      <w:marTop w:val="0"/>
      <w:marBottom w:val="0"/>
      <w:divBdr>
        <w:top w:val="none" w:sz="0" w:space="0" w:color="auto"/>
        <w:left w:val="none" w:sz="0" w:space="0" w:color="auto"/>
        <w:bottom w:val="none" w:sz="0" w:space="0" w:color="auto"/>
        <w:right w:val="none" w:sz="0" w:space="0" w:color="auto"/>
      </w:divBdr>
    </w:div>
    <w:div w:id="1286932052">
      <w:bodyDiv w:val="1"/>
      <w:marLeft w:val="0"/>
      <w:marRight w:val="0"/>
      <w:marTop w:val="0"/>
      <w:marBottom w:val="0"/>
      <w:divBdr>
        <w:top w:val="none" w:sz="0" w:space="0" w:color="auto"/>
        <w:left w:val="none" w:sz="0" w:space="0" w:color="auto"/>
        <w:bottom w:val="none" w:sz="0" w:space="0" w:color="auto"/>
        <w:right w:val="none" w:sz="0" w:space="0" w:color="auto"/>
      </w:divBdr>
    </w:div>
    <w:div w:id="1290279684">
      <w:bodyDiv w:val="1"/>
      <w:marLeft w:val="0"/>
      <w:marRight w:val="0"/>
      <w:marTop w:val="0"/>
      <w:marBottom w:val="0"/>
      <w:divBdr>
        <w:top w:val="none" w:sz="0" w:space="0" w:color="auto"/>
        <w:left w:val="none" w:sz="0" w:space="0" w:color="auto"/>
        <w:bottom w:val="none" w:sz="0" w:space="0" w:color="auto"/>
        <w:right w:val="none" w:sz="0" w:space="0" w:color="auto"/>
      </w:divBdr>
    </w:div>
    <w:div w:id="1296720951">
      <w:bodyDiv w:val="1"/>
      <w:marLeft w:val="0"/>
      <w:marRight w:val="0"/>
      <w:marTop w:val="0"/>
      <w:marBottom w:val="0"/>
      <w:divBdr>
        <w:top w:val="none" w:sz="0" w:space="0" w:color="auto"/>
        <w:left w:val="none" w:sz="0" w:space="0" w:color="auto"/>
        <w:bottom w:val="none" w:sz="0" w:space="0" w:color="auto"/>
        <w:right w:val="none" w:sz="0" w:space="0" w:color="auto"/>
      </w:divBdr>
    </w:div>
    <w:div w:id="1300379485">
      <w:bodyDiv w:val="1"/>
      <w:marLeft w:val="0"/>
      <w:marRight w:val="0"/>
      <w:marTop w:val="0"/>
      <w:marBottom w:val="0"/>
      <w:divBdr>
        <w:top w:val="none" w:sz="0" w:space="0" w:color="auto"/>
        <w:left w:val="none" w:sz="0" w:space="0" w:color="auto"/>
        <w:bottom w:val="none" w:sz="0" w:space="0" w:color="auto"/>
        <w:right w:val="none" w:sz="0" w:space="0" w:color="auto"/>
      </w:divBdr>
    </w:div>
    <w:div w:id="1303997037">
      <w:bodyDiv w:val="1"/>
      <w:marLeft w:val="0"/>
      <w:marRight w:val="0"/>
      <w:marTop w:val="0"/>
      <w:marBottom w:val="0"/>
      <w:divBdr>
        <w:top w:val="none" w:sz="0" w:space="0" w:color="auto"/>
        <w:left w:val="none" w:sz="0" w:space="0" w:color="auto"/>
        <w:bottom w:val="none" w:sz="0" w:space="0" w:color="auto"/>
        <w:right w:val="none" w:sz="0" w:space="0" w:color="auto"/>
      </w:divBdr>
    </w:div>
    <w:div w:id="1307658489">
      <w:bodyDiv w:val="1"/>
      <w:marLeft w:val="0"/>
      <w:marRight w:val="0"/>
      <w:marTop w:val="0"/>
      <w:marBottom w:val="0"/>
      <w:divBdr>
        <w:top w:val="none" w:sz="0" w:space="0" w:color="auto"/>
        <w:left w:val="none" w:sz="0" w:space="0" w:color="auto"/>
        <w:bottom w:val="none" w:sz="0" w:space="0" w:color="auto"/>
        <w:right w:val="none" w:sz="0" w:space="0" w:color="auto"/>
      </w:divBdr>
    </w:div>
    <w:div w:id="1313296508">
      <w:bodyDiv w:val="1"/>
      <w:marLeft w:val="0"/>
      <w:marRight w:val="0"/>
      <w:marTop w:val="0"/>
      <w:marBottom w:val="0"/>
      <w:divBdr>
        <w:top w:val="none" w:sz="0" w:space="0" w:color="auto"/>
        <w:left w:val="none" w:sz="0" w:space="0" w:color="auto"/>
        <w:bottom w:val="none" w:sz="0" w:space="0" w:color="auto"/>
        <w:right w:val="none" w:sz="0" w:space="0" w:color="auto"/>
      </w:divBdr>
    </w:div>
    <w:div w:id="1320816077">
      <w:bodyDiv w:val="1"/>
      <w:marLeft w:val="0"/>
      <w:marRight w:val="0"/>
      <w:marTop w:val="0"/>
      <w:marBottom w:val="0"/>
      <w:divBdr>
        <w:top w:val="none" w:sz="0" w:space="0" w:color="auto"/>
        <w:left w:val="none" w:sz="0" w:space="0" w:color="auto"/>
        <w:bottom w:val="none" w:sz="0" w:space="0" w:color="auto"/>
        <w:right w:val="none" w:sz="0" w:space="0" w:color="auto"/>
      </w:divBdr>
    </w:div>
    <w:div w:id="1327511787">
      <w:bodyDiv w:val="1"/>
      <w:marLeft w:val="0"/>
      <w:marRight w:val="0"/>
      <w:marTop w:val="0"/>
      <w:marBottom w:val="0"/>
      <w:divBdr>
        <w:top w:val="none" w:sz="0" w:space="0" w:color="auto"/>
        <w:left w:val="none" w:sz="0" w:space="0" w:color="auto"/>
        <w:bottom w:val="none" w:sz="0" w:space="0" w:color="auto"/>
        <w:right w:val="none" w:sz="0" w:space="0" w:color="auto"/>
      </w:divBdr>
    </w:div>
    <w:div w:id="1332291930">
      <w:bodyDiv w:val="1"/>
      <w:marLeft w:val="0"/>
      <w:marRight w:val="0"/>
      <w:marTop w:val="0"/>
      <w:marBottom w:val="0"/>
      <w:divBdr>
        <w:top w:val="none" w:sz="0" w:space="0" w:color="auto"/>
        <w:left w:val="none" w:sz="0" w:space="0" w:color="auto"/>
        <w:bottom w:val="none" w:sz="0" w:space="0" w:color="auto"/>
        <w:right w:val="none" w:sz="0" w:space="0" w:color="auto"/>
      </w:divBdr>
    </w:div>
    <w:div w:id="1335256869">
      <w:bodyDiv w:val="1"/>
      <w:marLeft w:val="0"/>
      <w:marRight w:val="0"/>
      <w:marTop w:val="0"/>
      <w:marBottom w:val="0"/>
      <w:divBdr>
        <w:top w:val="none" w:sz="0" w:space="0" w:color="auto"/>
        <w:left w:val="none" w:sz="0" w:space="0" w:color="auto"/>
        <w:bottom w:val="none" w:sz="0" w:space="0" w:color="auto"/>
        <w:right w:val="none" w:sz="0" w:space="0" w:color="auto"/>
      </w:divBdr>
    </w:div>
    <w:div w:id="1342394109">
      <w:bodyDiv w:val="1"/>
      <w:marLeft w:val="0"/>
      <w:marRight w:val="0"/>
      <w:marTop w:val="0"/>
      <w:marBottom w:val="0"/>
      <w:divBdr>
        <w:top w:val="none" w:sz="0" w:space="0" w:color="auto"/>
        <w:left w:val="none" w:sz="0" w:space="0" w:color="auto"/>
        <w:bottom w:val="none" w:sz="0" w:space="0" w:color="auto"/>
        <w:right w:val="none" w:sz="0" w:space="0" w:color="auto"/>
      </w:divBdr>
    </w:div>
    <w:div w:id="1346904155">
      <w:bodyDiv w:val="1"/>
      <w:marLeft w:val="0"/>
      <w:marRight w:val="0"/>
      <w:marTop w:val="0"/>
      <w:marBottom w:val="0"/>
      <w:divBdr>
        <w:top w:val="none" w:sz="0" w:space="0" w:color="auto"/>
        <w:left w:val="none" w:sz="0" w:space="0" w:color="auto"/>
        <w:bottom w:val="none" w:sz="0" w:space="0" w:color="auto"/>
        <w:right w:val="none" w:sz="0" w:space="0" w:color="auto"/>
      </w:divBdr>
    </w:div>
    <w:div w:id="1355964169">
      <w:bodyDiv w:val="1"/>
      <w:marLeft w:val="0"/>
      <w:marRight w:val="0"/>
      <w:marTop w:val="0"/>
      <w:marBottom w:val="0"/>
      <w:divBdr>
        <w:top w:val="none" w:sz="0" w:space="0" w:color="auto"/>
        <w:left w:val="none" w:sz="0" w:space="0" w:color="auto"/>
        <w:bottom w:val="none" w:sz="0" w:space="0" w:color="auto"/>
        <w:right w:val="none" w:sz="0" w:space="0" w:color="auto"/>
      </w:divBdr>
    </w:div>
    <w:div w:id="1358769789">
      <w:bodyDiv w:val="1"/>
      <w:marLeft w:val="0"/>
      <w:marRight w:val="0"/>
      <w:marTop w:val="0"/>
      <w:marBottom w:val="0"/>
      <w:divBdr>
        <w:top w:val="none" w:sz="0" w:space="0" w:color="auto"/>
        <w:left w:val="none" w:sz="0" w:space="0" w:color="auto"/>
        <w:bottom w:val="none" w:sz="0" w:space="0" w:color="auto"/>
        <w:right w:val="none" w:sz="0" w:space="0" w:color="auto"/>
      </w:divBdr>
    </w:div>
    <w:div w:id="1365056039">
      <w:bodyDiv w:val="1"/>
      <w:marLeft w:val="0"/>
      <w:marRight w:val="0"/>
      <w:marTop w:val="0"/>
      <w:marBottom w:val="0"/>
      <w:divBdr>
        <w:top w:val="none" w:sz="0" w:space="0" w:color="auto"/>
        <w:left w:val="none" w:sz="0" w:space="0" w:color="auto"/>
        <w:bottom w:val="none" w:sz="0" w:space="0" w:color="auto"/>
        <w:right w:val="none" w:sz="0" w:space="0" w:color="auto"/>
      </w:divBdr>
    </w:div>
    <w:div w:id="1365056486">
      <w:bodyDiv w:val="1"/>
      <w:marLeft w:val="0"/>
      <w:marRight w:val="0"/>
      <w:marTop w:val="0"/>
      <w:marBottom w:val="0"/>
      <w:divBdr>
        <w:top w:val="none" w:sz="0" w:space="0" w:color="auto"/>
        <w:left w:val="none" w:sz="0" w:space="0" w:color="auto"/>
        <w:bottom w:val="none" w:sz="0" w:space="0" w:color="auto"/>
        <w:right w:val="none" w:sz="0" w:space="0" w:color="auto"/>
      </w:divBdr>
    </w:div>
    <w:div w:id="1366638544">
      <w:bodyDiv w:val="1"/>
      <w:marLeft w:val="0"/>
      <w:marRight w:val="0"/>
      <w:marTop w:val="0"/>
      <w:marBottom w:val="0"/>
      <w:divBdr>
        <w:top w:val="none" w:sz="0" w:space="0" w:color="auto"/>
        <w:left w:val="none" w:sz="0" w:space="0" w:color="auto"/>
        <w:bottom w:val="none" w:sz="0" w:space="0" w:color="auto"/>
        <w:right w:val="none" w:sz="0" w:space="0" w:color="auto"/>
      </w:divBdr>
    </w:div>
    <w:div w:id="1372076748">
      <w:bodyDiv w:val="1"/>
      <w:marLeft w:val="0"/>
      <w:marRight w:val="0"/>
      <w:marTop w:val="0"/>
      <w:marBottom w:val="0"/>
      <w:divBdr>
        <w:top w:val="none" w:sz="0" w:space="0" w:color="auto"/>
        <w:left w:val="none" w:sz="0" w:space="0" w:color="auto"/>
        <w:bottom w:val="none" w:sz="0" w:space="0" w:color="auto"/>
        <w:right w:val="none" w:sz="0" w:space="0" w:color="auto"/>
      </w:divBdr>
    </w:div>
    <w:div w:id="1375278507">
      <w:bodyDiv w:val="1"/>
      <w:marLeft w:val="0"/>
      <w:marRight w:val="0"/>
      <w:marTop w:val="0"/>
      <w:marBottom w:val="0"/>
      <w:divBdr>
        <w:top w:val="none" w:sz="0" w:space="0" w:color="auto"/>
        <w:left w:val="none" w:sz="0" w:space="0" w:color="auto"/>
        <w:bottom w:val="none" w:sz="0" w:space="0" w:color="auto"/>
        <w:right w:val="none" w:sz="0" w:space="0" w:color="auto"/>
      </w:divBdr>
    </w:div>
    <w:div w:id="1381981914">
      <w:bodyDiv w:val="1"/>
      <w:marLeft w:val="0"/>
      <w:marRight w:val="0"/>
      <w:marTop w:val="0"/>
      <w:marBottom w:val="0"/>
      <w:divBdr>
        <w:top w:val="none" w:sz="0" w:space="0" w:color="auto"/>
        <w:left w:val="none" w:sz="0" w:space="0" w:color="auto"/>
        <w:bottom w:val="none" w:sz="0" w:space="0" w:color="auto"/>
        <w:right w:val="none" w:sz="0" w:space="0" w:color="auto"/>
      </w:divBdr>
    </w:div>
    <w:div w:id="1383554740">
      <w:bodyDiv w:val="1"/>
      <w:marLeft w:val="0"/>
      <w:marRight w:val="0"/>
      <w:marTop w:val="0"/>
      <w:marBottom w:val="0"/>
      <w:divBdr>
        <w:top w:val="none" w:sz="0" w:space="0" w:color="auto"/>
        <w:left w:val="none" w:sz="0" w:space="0" w:color="auto"/>
        <w:bottom w:val="none" w:sz="0" w:space="0" w:color="auto"/>
        <w:right w:val="none" w:sz="0" w:space="0" w:color="auto"/>
      </w:divBdr>
    </w:div>
    <w:div w:id="1390230252">
      <w:bodyDiv w:val="1"/>
      <w:marLeft w:val="0"/>
      <w:marRight w:val="0"/>
      <w:marTop w:val="0"/>
      <w:marBottom w:val="0"/>
      <w:divBdr>
        <w:top w:val="none" w:sz="0" w:space="0" w:color="auto"/>
        <w:left w:val="none" w:sz="0" w:space="0" w:color="auto"/>
        <w:bottom w:val="none" w:sz="0" w:space="0" w:color="auto"/>
        <w:right w:val="none" w:sz="0" w:space="0" w:color="auto"/>
      </w:divBdr>
    </w:div>
    <w:div w:id="1393119912">
      <w:bodyDiv w:val="1"/>
      <w:marLeft w:val="0"/>
      <w:marRight w:val="0"/>
      <w:marTop w:val="0"/>
      <w:marBottom w:val="0"/>
      <w:divBdr>
        <w:top w:val="none" w:sz="0" w:space="0" w:color="auto"/>
        <w:left w:val="none" w:sz="0" w:space="0" w:color="auto"/>
        <w:bottom w:val="none" w:sz="0" w:space="0" w:color="auto"/>
        <w:right w:val="none" w:sz="0" w:space="0" w:color="auto"/>
      </w:divBdr>
    </w:div>
    <w:div w:id="1398746771">
      <w:bodyDiv w:val="1"/>
      <w:marLeft w:val="0"/>
      <w:marRight w:val="0"/>
      <w:marTop w:val="0"/>
      <w:marBottom w:val="0"/>
      <w:divBdr>
        <w:top w:val="none" w:sz="0" w:space="0" w:color="auto"/>
        <w:left w:val="none" w:sz="0" w:space="0" w:color="auto"/>
        <w:bottom w:val="none" w:sz="0" w:space="0" w:color="auto"/>
        <w:right w:val="none" w:sz="0" w:space="0" w:color="auto"/>
      </w:divBdr>
    </w:div>
    <w:div w:id="1423913154">
      <w:bodyDiv w:val="1"/>
      <w:marLeft w:val="0"/>
      <w:marRight w:val="0"/>
      <w:marTop w:val="0"/>
      <w:marBottom w:val="0"/>
      <w:divBdr>
        <w:top w:val="none" w:sz="0" w:space="0" w:color="auto"/>
        <w:left w:val="none" w:sz="0" w:space="0" w:color="auto"/>
        <w:bottom w:val="none" w:sz="0" w:space="0" w:color="auto"/>
        <w:right w:val="none" w:sz="0" w:space="0" w:color="auto"/>
      </w:divBdr>
    </w:div>
    <w:div w:id="1435325991">
      <w:bodyDiv w:val="1"/>
      <w:marLeft w:val="0"/>
      <w:marRight w:val="0"/>
      <w:marTop w:val="0"/>
      <w:marBottom w:val="0"/>
      <w:divBdr>
        <w:top w:val="none" w:sz="0" w:space="0" w:color="auto"/>
        <w:left w:val="none" w:sz="0" w:space="0" w:color="auto"/>
        <w:bottom w:val="none" w:sz="0" w:space="0" w:color="auto"/>
        <w:right w:val="none" w:sz="0" w:space="0" w:color="auto"/>
      </w:divBdr>
    </w:div>
    <w:div w:id="1442920707">
      <w:bodyDiv w:val="1"/>
      <w:marLeft w:val="0"/>
      <w:marRight w:val="0"/>
      <w:marTop w:val="0"/>
      <w:marBottom w:val="0"/>
      <w:divBdr>
        <w:top w:val="none" w:sz="0" w:space="0" w:color="auto"/>
        <w:left w:val="none" w:sz="0" w:space="0" w:color="auto"/>
        <w:bottom w:val="none" w:sz="0" w:space="0" w:color="auto"/>
        <w:right w:val="none" w:sz="0" w:space="0" w:color="auto"/>
      </w:divBdr>
    </w:div>
    <w:div w:id="1456221053">
      <w:bodyDiv w:val="1"/>
      <w:marLeft w:val="0"/>
      <w:marRight w:val="0"/>
      <w:marTop w:val="0"/>
      <w:marBottom w:val="0"/>
      <w:divBdr>
        <w:top w:val="none" w:sz="0" w:space="0" w:color="auto"/>
        <w:left w:val="none" w:sz="0" w:space="0" w:color="auto"/>
        <w:bottom w:val="none" w:sz="0" w:space="0" w:color="auto"/>
        <w:right w:val="none" w:sz="0" w:space="0" w:color="auto"/>
      </w:divBdr>
    </w:div>
    <w:div w:id="1462461069">
      <w:bodyDiv w:val="1"/>
      <w:marLeft w:val="0"/>
      <w:marRight w:val="0"/>
      <w:marTop w:val="0"/>
      <w:marBottom w:val="0"/>
      <w:divBdr>
        <w:top w:val="none" w:sz="0" w:space="0" w:color="auto"/>
        <w:left w:val="none" w:sz="0" w:space="0" w:color="auto"/>
        <w:bottom w:val="none" w:sz="0" w:space="0" w:color="auto"/>
        <w:right w:val="none" w:sz="0" w:space="0" w:color="auto"/>
      </w:divBdr>
    </w:div>
    <w:div w:id="1464083608">
      <w:bodyDiv w:val="1"/>
      <w:marLeft w:val="0"/>
      <w:marRight w:val="0"/>
      <w:marTop w:val="0"/>
      <w:marBottom w:val="0"/>
      <w:divBdr>
        <w:top w:val="none" w:sz="0" w:space="0" w:color="auto"/>
        <w:left w:val="none" w:sz="0" w:space="0" w:color="auto"/>
        <w:bottom w:val="none" w:sz="0" w:space="0" w:color="auto"/>
        <w:right w:val="none" w:sz="0" w:space="0" w:color="auto"/>
      </w:divBdr>
    </w:div>
    <w:div w:id="1470513557">
      <w:bodyDiv w:val="1"/>
      <w:marLeft w:val="0"/>
      <w:marRight w:val="0"/>
      <w:marTop w:val="0"/>
      <w:marBottom w:val="0"/>
      <w:divBdr>
        <w:top w:val="none" w:sz="0" w:space="0" w:color="auto"/>
        <w:left w:val="none" w:sz="0" w:space="0" w:color="auto"/>
        <w:bottom w:val="none" w:sz="0" w:space="0" w:color="auto"/>
        <w:right w:val="none" w:sz="0" w:space="0" w:color="auto"/>
      </w:divBdr>
    </w:div>
    <w:div w:id="1476723044">
      <w:bodyDiv w:val="1"/>
      <w:marLeft w:val="0"/>
      <w:marRight w:val="0"/>
      <w:marTop w:val="0"/>
      <w:marBottom w:val="0"/>
      <w:divBdr>
        <w:top w:val="none" w:sz="0" w:space="0" w:color="auto"/>
        <w:left w:val="none" w:sz="0" w:space="0" w:color="auto"/>
        <w:bottom w:val="none" w:sz="0" w:space="0" w:color="auto"/>
        <w:right w:val="none" w:sz="0" w:space="0" w:color="auto"/>
      </w:divBdr>
    </w:div>
    <w:div w:id="1482844446">
      <w:bodyDiv w:val="1"/>
      <w:marLeft w:val="0"/>
      <w:marRight w:val="0"/>
      <w:marTop w:val="0"/>
      <w:marBottom w:val="0"/>
      <w:divBdr>
        <w:top w:val="none" w:sz="0" w:space="0" w:color="auto"/>
        <w:left w:val="none" w:sz="0" w:space="0" w:color="auto"/>
        <w:bottom w:val="none" w:sz="0" w:space="0" w:color="auto"/>
        <w:right w:val="none" w:sz="0" w:space="0" w:color="auto"/>
      </w:divBdr>
    </w:div>
    <w:div w:id="1486162884">
      <w:bodyDiv w:val="1"/>
      <w:marLeft w:val="0"/>
      <w:marRight w:val="0"/>
      <w:marTop w:val="0"/>
      <w:marBottom w:val="0"/>
      <w:divBdr>
        <w:top w:val="none" w:sz="0" w:space="0" w:color="auto"/>
        <w:left w:val="none" w:sz="0" w:space="0" w:color="auto"/>
        <w:bottom w:val="none" w:sz="0" w:space="0" w:color="auto"/>
        <w:right w:val="none" w:sz="0" w:space="0" w:color="auto"/>
      </w:divBdr>
    </w:div>
    <w:div w:id="1489323140">
      <w:bodyDiv w:val="1"/>
      <w:marLeft w:val="0"/>
      <w:marRight w:val="0"/>
      <w:marTop w:val="0"/>
      <w:marBottom w:val="0"/>
      <w:divBdr>
        <w:top w:val="none" w:sz="0" w:space="0" w:color="auto"/>
        <w:left w:val="none" w:sz="0" w:space="0" w:color="auto"/>
        <w:bottom w:val="none" w:sz="0" w:space="0" w:color="auto"/>
        <w:right w:val="none" w:sz="0" w:space="0" w:color="auto"/>
      </w:divBdr>
    </w:div>
    <w:div w:id="1490100378">
      <w:bodyDiv w:val="1"/>
      <w:marLeft w:val="0"/>
      <w:marRight w:val="0"/>
      <w:marTop w:val="0"/>
      <w:marBottom w:val="0"/>
      <w:divBdr>
        <w:top w:val="none" w:sz="0" w:space="0" w:color="auto"/>
        <w:left w:val="none" w:sz="0" w:space="0" w:color="auto"/>
        <w:bottom w:val="none" w:sz="0" w:space="0" w:color="auto"/>
        <w:right w:val="none" w:sz="0" w:space="0" w:color="auto"/>
      </w:divBdr>
    </w:div>
    <w:div w:id="1490639045">
      <w:bodyDiv w:val="1"/>
      <w:marLeft w:val="0"/>
      <w:marRight w:val="0"/>
      <w:marTop w:val="0"/>
      <w:marBottom w:val="0"/>
      <w:divBdr>
        <w:top w:val="none" w:sz="0" w:space="0" w:color="auto"/>
        <w:left w:val="none" w:sz="0" w:space="0" w:color="auto"/>
        <w:bottom w:val="none" w:sz="0" w:space="0" w:color="auto"/>
        <w:right w:val="none" w:sz="0" w:space="0" w:color="auto"/>
      </w:divBdr>
    </w:div>
    <w:div w:id="1492677828">
      <w:bodyDiv w:val="1"/>
      <w:marLeft w:val="0"/>
      <w:marRight w:val="0"/>
      <w:marTop w:val="0"/>
      <w:marBottom w:val="0"/>
      <w:divBdr>
        <w:top w:val="none" w:sz="0" w:space="0" w:color="auto"/>
        <w:left w:val="none" w:sz="0" w:space="0" w:color="auto"/>
        <w:bottom w:val="none" w:sz="0" w:space="0" w:color="auto"/>
        <w:right w:val="none" w:sz="0" w:space="0" w:color="auto"/>
      </w:divBdr>
    </w:div>
    <w:div w:id="1504978562">
      <w:bodyDiv w:val="1"/>
      <w:marLeft w:val="0"/>
      <w:marRight w:val="0"/>
      <w:marTop w:val="0"/>
      <w:marBottom w:val="0"/>
      <w:divBdr>
        <w:top w:val="none" w:sz="0" w:space="0" w:color="auto"/>
        <w:left w:val="none" w:sz="0" w:space="0" w:color="auto"/>
        <w:bottom w:val="none" w:sz="0" w:space="0" w:color="auto"/>
        <w:right w:val="none" w:sz="0" w:space="0" w:color="auto"/>
      </w:divBdr>
    </w:div>
    <w:div w:id="1514804666">
      <w:bodyDiv w:val="1"/>
      <w:marLeft w:val="0"/>
      <w:marRight w:val="0"/>
      <w:marTop w:val="0"/>
      <w:marBottom w:val="0"/>
      <w:divBdr>
        <w:top w:val="none" w:sz="0" w:space="0" w:color="auto"/>
        <w:left w:val="none" w:sz="0" w:space="0" w:color="auto"/>
        <w:bottom w:val="none" w:sz="0" w:space="0" w:color="auto"/>
        <w:right w:val="none" w:sz="0" w:space="0" w:color="auto"/>
      </w:divBdr>
    </w:div>
    <w:div w:id="1517117610">
      <w:bodyDiv w:val="1"/>
      <w:marLeft w:val="0"/>
      <w:marRight w:val="0"/>
      <w:marTop w:val="0"/>
      <w:marBottom w:val="0"/>
      <w:divBdr>
        <w:top w:val="none" w:sz="0" w:space="0" w:color="auto"/>
        <w:left w:val="none" w:sz="0" w:space="0" w:color="auto"/>
        <w:bottom w:val="none" w:sz="0" w:space="0" w:color="auto"/>
        <w:right w:val="none" w:sz="0" w:space="0" w:color="auto"/>
      </w:divBdr>
    </w:div>
    <w:div w:id="1517696011">
      <w:bodyDiv w:val="1"/>
      <w:marLeft w:val="0"/>
      <w:marRight w:val="0"/>
      <w:marTop w:val="0"/>
      <w:marBottom w:val="0"/>
      <w:divBdr>
        <w:top w:val="none" w:sz="0" w:space="0" w:color="auto"/>
        <w:left w:val="none" w:sz="0" w:space="0" w:color="auto"/>
        <w:bottom w:val="none" w:sz="0" w:space="0" w:color="auto"/>
        <w:right w:val="none" w:sz="0" w:space="0" w:color="auto"/>
      </w:divBdr>
    </w:div>
    <w:div w:id="1528713436">
      <w:bodyDiv w:val="1"/>
      <w:marLeft w:val="0"/>
      <w:marRight w:val="0"/>
      <w:marTop w:val="0"/>
      <w:marBottom w:val="0"/>
      <w:divBdr>
        <w:top w:val="none" w:sz="0" w:space="0" w:color="auto"/>
        <w:left w:val="none" w:sz="0" w:space="0" w:color="auto"/>
        <w:bottom w:val="none" w:sz="0" w:space="0" w:color="auto"/>
        <w:right w:val="none" w:sz="0" w:space="0" w:color="auto"/>
      </w:divBdr>
    </w:div>
    <w:div w:id="1529948918">
      <w:bodyDiv w:val="1"/>
      <w:marLeft w:val="0"/>
      <w:marRight w:val="0"/>
      <w:marTop w:val="0"/>
      <w:marBottom w:val="0"/>
      <w:divBdr>
        <w:top w:val="none" w:sz="0" w:space="0" w:color="auto"/>
        <w:left w:val="none" w:sz="0" w:space="0" w:color="auto"/>
        <w:bottom w:val="none" w:sz="0" w:space="0" w:color="auto"/>
        <w:right w:val="none" w:sz="0" w:space="0" w:color="auto"/>
      </w:divBdr>
    </w:div>
    <w:div w:id="1534809976">
      <w:bodyDiv w:val="1"/>
      <w:marLeft w:val="0"/>
      <w:marRight w:val="0"/>
      <w:marTop w:val="0"/>
      <w:marBottom w:val="0"/>
      <w:divBdr>
        <w:top w:val="none" w:sz="0" w:space="0" w:color="auto"/>
        <w:left w:val="none" w:sz="0" w:space="0" w:color="auto"/>
        <w:bottom w:val="none" w:sz="0" w:space="0" w:color="auto"/>
        <w:right w:val="none" w:sz="0" w:space="0" w:color="auto"/>
      </w:divBdr>
    </w:div>
    <w:div w:id="1554660043">
      <w:bodyDiv w:val="1"/>
      <w:marLeft w:val="0"/>
      <w:marRight w:val="0"/>
      <w:marTop w:val="0"/>
      <w:marBottom w:val="0"/>
      <w:divBdr>
        <w:top w:val="none" w:sz="0" w:space="0" w:color="auto"/>
        <w:left w:val="none" w:sz="0" w:space="0" w:color="auto"/>
        <w:bottom w:val="none" w:sz="0" w:space="0" w:color="auto"/>
        <w:right w:val="none" w:sz="0" w:space="0" w:color="auto"/>
      </w:divBdr>
    </w:div>
    <w:div w:id="1558735630">
      <w:bodyDiv w:val="1"/>
      <w:marLeft w:val="0"/>
      <w:marRight w:val="0"/>
      <w:marTop w:val="0"/>
      <w:marBottom w:val="0"/>
      <w:divBdr>
        <w:top w:val="none" w:sz="0" w:space="0" w:color="auto"/>
        <w:left w:val="none" w:sz="0" w:space="0" w:color="auto"/>
        <w:bottom w:val="none" w:sz="0" w:space="0" w:color="auto"/>
        <w:right w:val="none" w:sz="0" w:space="0" w:color="auto"/>
      </w:divBdr>
    </w:div>
    <w:div w:id="1563100574">
      <w:bodyDiv w:val="1"/>
      <w:marLeft w:val="0"/>
      <w:marRight w:val="0"/>
      <w:marTop w:val="0"/>
      <w:marBottom w:val="0"/>
      <w:divBdr>
        <w:top w:val="none" w:sz="0" w:space="0" w:color="auto"/>
        <w:left w:val="none" w:sz="0" w:space="0" w:color="auto"/>
        <w:bottom w:val="none" w:sz="0" w:space="0" w:color="auto"/>
        <w:right w:val="none" w:sz="0" w:space="0" w:color="auto"/>
      </w:divBdr>
    </w:div>
    <w:div w:id="1569462343">
      <w:bodyDiv w:val="1"/>
      <w:marLeft w:val="0"/>
      <w:marRight w:val="0"/>
      <w:marTop w:val="0"/>
      <w:marBottom w:val="0"/>
      <w:divBdr>
        <w:top w:val="none" w:sz="0" w:space="0" w:color="auto"/>
        <w:left w:val="none" w:sz="0" w:space="0" w:color="auto"/>
        <w:bottom w:val="none" w:sz="0" w:space="0" w:color="auto"/>
        <w:right w:val="none" w:sz="0" w:space="0" w:color="auto"/>
      </w:divBdr>
    </w:div>
    <w:div w:id="1572500486">
      <w:bodyDiv w:val="1"/>
      <w:marLeft w:val="0"/>
      <w:marRight w:val="0"/>
      <w:marTop w:val="0"/>
      <w:marBottom w:val="0"/>
      <w:divBdr>
        <w:top w:val="none" w:sz="0" w:space="0" w:color="auto"/>
        <w:left w:val="none" w:sz="0" w:space="0" w:color="auto"/>
        <w:bottom w:val="none" w:sz="0" w:space="0" w:color="auto"/>
        <w:right w:val="none" w:sz="0" w:space="0" w:color="auto"/>
      </w:divBdr>
    </w:div>
    <w:div w:id="1579899297">
      <w:bodyDiv w:val="1"/>
      <w:marLeft w:val="0"/>
      <w:marRight w:val="0"/>
      <w:marTop w:val="0"/>
      <w:marBottom w:val="0"/>
      <w:divBdr>
        <w:top w:val="none" w:sz="0" w:space="0" w:color="auto"/>
        <w:left w:val="none" w:sz="0" w:space="0" w:color="auto"/>
        <w:bottom w:val="none" w:sz="0" w:space="0" w:color="auto"/>
        <w:right w:val="none" w:sz="0" w:space="0" w:color="auto"/>
      </w:divBdr>
    </w:div>
    <w:div w:id="1581675720">
      <w:bodyDiv w:val="1"/>
      <w:marLeft w:val="0"/>
      <w:marRight w:val="0"/>
      <w:marTop w:val="0"/>
      <w:marBottom w:val="0"/>
      <w:divBdr>
        <w:top w:val="none" w:sz="0" w:space="0" w:color="auto"/>
        <w:left w:val="none" w:sz="0" w:space="0" w:color="auto"/>
        <w:bottom w:val="none" w:sz="0" w:space="0" w:color="auto"/>
        <w:right w:val="none" w:sz="0" w:space="0" w:color="auto"/>
      </w:divBdr>
    </w:div>
    <w:div w:id="1584534491">
      <w:bodyDiv w:val="1"/>
      <w:marLeft w:val="0"/>
      <w:marRight w:val="0"/>
      <w:marTop w:val="0"/>
      <w:marBottom w:val="0"/>
      <w:divBdr>
        <w:top w:val="none" w:sz="0" w:space="0" w:color="auto"/>
        <w:left w:val="none" w:sz="0" w:space="0" w:color="auto"/>
        <w:bottom w:val="none" w:sz="0" w:space="0" w:color="auto"/>
        <w:right w:val="none" w:sz="0" w:space="0" w:color="auto"/>
      </w:divBdr>
    </w:div>
    <w:div w:id="1586304919">
      <w:bodyDiv w:val="1"/>
      <w:marLeft w:val="0"/>
      <w:marRight w:val="0"/>
      <w:marTop w:val="0"/>
      <w:marBottom w:val="0"/>
      <w:divBdr>
        <w:top w:val="none" w:sz="0" w:space="0" w:color="auto"/>
        <w:left w:val="none" w:sz="0" w:space="0" w:color="auto"/>
        <w:bottom w:val="none" w:sz="0" w:space="0" w:color="auto"/>
        <w:right w:val="none" w:sz="0" w:space="0" w:color="auto"/>
      </w:divBdr>
    </w:div>
    <w:div w:id="1590626519">
      <w:bodyDiv w:val="1"/>
      <w:marLeft w:val="0"/>
      <w:marRight w:val="0"/>
      <w:marTop w:val="0"/>
      <w:marBottom w:val="0"/>
      <w:divBdr>
        <w:top w:val="none" w:sz="0" w:space="0" w:color="auto"/>
        <w:left w:val="none" w:sz="0" w:space="0" w:color="auto"/>
        <w:bottom w:val="none" w:sz="0" w:space="0" w:color="auto"/>
        <w:right w:val="none" w:sz="0" w:space="0" w:color="auto"/>
      </w:divBdr>
    </w:div>
    <w:div w:id="1591233985">
      <w:bodyDiv w:val="1"/>
      <w:marLeft w:val="0"/>
      <w:marRight w:val="0"/>
      <w:marTop w:val="0"/>
      <w:marBottom w:val="0"/>
      <w:divBdr>
        <w:top w:val="none" w:sz="0" w:space="0" w:color="auto"/>
        <w:left w:val="none" w:sz="0" w:space="0" w:color="auto"/>
        <w:bottom w:val="none" w:sz="0" w:space="0" w:color="auto"/>
        <w:right w:val="none" w:sz="0" w:space="0" w:color="auto"/>
      </w:divBdr>
    </w:div>
    <w:div w:id="1596092113">
      <w:bodyDiv w:val="1"/>
      <w:marLeft w:val="0"/>
      <w:marRight w:val="0"/>
      <w:marTop w:val="0"/>
      <w:marBottom w:val="0"/>
      <w:divBdr>
        <w:top w:val="none" w:sz="0" w:space="0" w:color="auto"/>
        <w:left w:val="none" w:sz="0" w:space="0" w:color="auto"/>
        <w:bottom w:val="none" w:sz="0" w:space="0" w:color="auto"/>
        <w:right w:val="none" w:sz="0" w:space="0" w:color="auto"/>
      </w:divBdr>
    </w:div>
    <w:div w:id="1602906377">
      <w:bodyDiv w:val="1"/>
      <w:marLeft w:val="0"/>
      <w:marRight w:val="0"/>
      <w:marTop w:val="0"/>
      <w:marBottom w:val="0"/>
      <w:divBdr>
        <w:top w:val="none" w:sz="0" w:space="0" w:color="auto"/>
        <w:left w:val="none" w:sz="0" w:space="0" w:color="auto"/>
        <w:bottom w:val="none" w:sz="0" w:space="0" w:color="auto"/>
        <w:right w:val="none" w:sz="0" w:space="0" w:color="auto"/>
      </w:divBdr>
    </w:div>
    <w:div w:id="1603755588">
      <w:bodyDiv w:val="1"/>
      <w:marLeft w:val="0"/>
      <w:marRight w:val="0"/>
      <w:marTop w:val="0"/>
      <w:marBottom w:val="0"/>
      <w:divBdr>
        <w:top w:val="none" w:sz="0" w:space="0" w:color="auto"/>
        <w:left w:val="none" w:sz="0" w:space="0" w:color="auto"/>
        <w:bottom w:val="none" w:sz="0" w:space="0" w:color="auto"/>
        <w:right w:val="none" w:sz="0" w:space="0" w:color="auto"/>
      </w:divBdr>
    </w:div>
    <w:div w:id="1606813888">
      <w:bodyDiv w:val="1"/>
      <w:marLeft w:val="0"/>
      <w:marRight w:val="0"/>
      <w:marTop w:val="0"/>
      <w:marBottom w:val="0"/>
      <w:divBdr>
        <w:top w:val="none" w:sz="0" w:space="0" w:color="auto"/>
        <w:left w:val="none" w:sz="0" w:space="0" w:color="auto"/>
        <w:bottom w:val="none" w:sz="0" w:space="0" w:color="auto"/>
        <w:right w:val="none" w:sz="0" w:space="0" w:color="auto"/>
      </w:divBdr>
    </w:div>
    <w:div w:id="1615399463">
      <w:bodyDiv w:val="1"/>
      <w:marLeft w:val="0"/>
      <w:marRight w:val="0"/>
      <w:marTop w:val="0"/>
      <w:marBottom w:val="0"/>
      <w:divBdr>
        <w:top w:val="none" w:sz="0" w:space="0" w:color="auto"/>
        <w:left w:val="none" w:sz="0" w:space="0" w:color="auto"/>
        <w:bottom w:val="none" w:sz="0" w:space="0" w:color="auto"/>
        <w:right w:val="none" w:sz="0" w:space="0" w:color="auto"/>
      </w:divBdr>
    </w:div>
    <w:div w:id="1626695628">
      <w:bodyDiv w:val="1"/>
      <w:marLeft w:val="0"/>
      <w:marRight w:val="0"/>
      <w:marTop w:val="0"/>
      <w:marBottom w:val="0"/>
      <w:divBdr>
        <w:top w:val="none" w:sz="0" w:space="0" w:color="auto"/>
        <w:left w:val="none" w:sz="0" w:space="0" w:color="auto"/>
        <w:bottom w:val="none" w:sz="0" w:space="0" w:color="auto"/>
        <w:right w:val="none" w:sz="0" w:space="0" w:color="auto"/>
      </w:divBdr>
    </w:div>
    <w:div w:id="1643391513">
      <w:bodyDiv w:val="1"/>
      <w:marLeft w:val="0"/>
      <w:marRight w:val="0"/>
      <w:marTop w:val="0"/>
      <w:marBottom w:val="0"/>
      <w:divBdr>
        <w:top w:val="none" w:sz="0" w:space="0" w:color="auto"/>
        <w:left w:val="none" w:sz="0" w:space="0" w:color="auto"/>
        <w:bottom w:val="none" w:sz="0" w:space="0" w:color="auto"/>
        <w:right w:val="none" w:sz="0" w:space="0" w:color="auto"/>
      </w:divBdr>
    </w:div>
    <w:div w:id="1664427069">
      <w:bodyDiv w:val="1"/>
      <w:marLeft w:val="0"/>
      <w:marRight w:val="0"/>
      <w:marTop w:val="0"/>
      <w:marBottom w:val="0"/>
      <w:divBdr>
        <w:top w:val="none" w:sz="0" w:space="0" w:color="auto"/>
        <w:left w:val="none" w:sz="0" w:space="0" w:color="auto"/>
        <w:bottom w:val="none" w:sz="0" w:space="0" w:color="auto"/>
        <w:right w:val="none" w:sz="0" w:space="0" w:color="auto"/>
      </w:divBdr>
    </w:div>
    <w:div w:id="1667896883">
      <w:bodyDiv w:val="1"/>
      <w:marLeft w:val="0"/>
      <w:marRight w:val="0"/>
      <w:marTop w:val="0"/>
      <w:marBottom w:val="0"/>
      <w:divBdr>
        <w:top w:val="none" w:sz="0" w:space="0" w:color="auto"/>
        <w:left w:val="none" w:sz="0" w:space="0" w:color="auto"/>
        <w:bottom w:val="none" w:sz="0" w:space="0" w:color="auto"/>
        <w:right w:val="none" w:sz="0" w:space="0" w:color="auto"/>
      </w:divBdr>
    </w:div>
    <w:div w:id="1687436679">
      <w:bodyDiv w:val="1"/>
      <w:marLeft w:val="0"/>
      <w:marRight w:val="0"/>
      <w:marTop w:val="0"/>
      <w:marBottom w:val="0"/>
      <w:divBdr>
        <w:top w:val="none" w:sz="0" w:space="0" w:color="auto"/>
        <w:left w:val="none" w:sz="0" w:space="0" w:color="auto"/>
        <w:bottom w:val="none" w:sz="0" w:space="0" w:color="auto"/>
        <w:right w:val="none" w:sz="0" w:space="0" w:color="auto"/>
      </w:divBdr>
    </w:div>
    <w:div w:id="1689260377">
      <w:bodyDiv w:val="1"/>
      <w:marLeft w:val="0"/>
      <w:marRight w:val="0"/>
      <w:marTop w:val="0"/>
      <w:marBottom w:val="0"/>
      <w:divBdr>
        <w:top w:val="none" w:sz="0" w:space="0" w:color="auto"/>
        <w:left w:val="none" w:sz="0" w:space="0" w:color="auto"/>
        <w:bottom w:val="none" w:sz="0" w:space="0" w:color="auto"/>
        <w:right w:val="none" w:sz="0" w:space="0" w:color="auto"/>
      </w:divBdr>
    </w:div>
    <w:div w:id="1699820430">
      <w:bodyDiv w:val="1"/>
      <w:marLeft w:val="0"/>
      <w:marRight w:val="0"/>
      <w:marTop w:val="0"/>
      <w:marBottom w:val="0"/>
      <w:divBdr>
        <w:top w:val="none" w:sz="0" w:space="0" w:color="auto"/>
        <w:left w:val="none" w:sz="0" w:space="0" w:color="auto"/>
        <w:bottom w:val="none" w:sz="0" w:space="0" w:color="auto"/>
        <w:right w:val="none" w:sz="0" w:space="0" w:color="auto"/>
      </w:divBdr>
    </w:div>
    <w:div w:id="1700202390">
      <w:bodyDiv w:val="1"/>
      <w:marLeft w:val="0"/>
      <w:marRight w:val="0"/>
      <w:marTop w:val="0"/>
      <w:marBottom w:val="0"/>
      <w:divBdr>
        <w:top w:val="none" w:sz="0" w:space="0" w:color="auto"/>
        <w:left w:val="none" w:sz="0" w:space="0" w:color="auto"/>
        <w:bottom w:val="none" w:sz="0" w:space="0" w:color="auto"/>
        <w:right w:val="none" w:sz="0" w:space="0" w:color="auto"/>
      </w:divBdr>
    </w:div>
    <w:div w:id="1705247700">
      <w:bodyDiv w:val="1"/>
      <w:marLeft w:val="0"/>
      <w:marRight w:val="0"/>
      <w:marTop w:val="0"/>
      <w:marBottom w:val="0"/>
      <w:divBdr>
        <w:top w:val="none" w:sz="0" w:space="0" w:color="auto"/>
        <w:left w:val="none" w:sz="0" w:space="0" w:color="auto"/>
        <w:bottom w:val="none" w:sz="0" w:space="0" w:color="auto"/>
        <w:right w:val="none" w:sz="0" w:space="0" w:color="auto"/>
      </w:divBdr>
    </w:div>
    <w:div w:id="1707871103">
      <w:bodyDiv w:val="1"/>
      <w:marLeft w:val="0"/>
      <w:marRight w:val="0"/>
      <w:marTop w:val="0"/>
      <w:marBottom w:val="0"/>
      <w:divBdr>
        <w:top w:val="none" w:sz="0" w:space="0" w:color="auto"/>
        <w:left w:val="none" w:sz="0" w:space="0" w:color="auto"/>
        <w:bottom w:val="none" w:sz="0" w:space="0" w:color="auto"/>
        <w:right w:val="none" w:sz="0" w:space="0" w:color="auto"/>
      </w:divBdr>
    </w:div>
    <w:div w:id="1718550945">
      <w:bodyDiv w:val="1"/>
      <w:marLeft w:val="0"/>
      <w:marRight w:val="0"/>
      <w:marTop w:val="0"/>
      <w:marBottom w:val="0"/>
      <w:divBdr>
        <w:top w:val="none" w:sz="0" w:space="0" w:color="auto"/>
        <w:left w:val="none" w:sz="0" w:space="0" w:color="auto"/>
        <w:bottom w:val="none" w:sz="0" w:space="0" w:color="auto"/>
        <w:right w:val="none" w:sz="0" w:space="0" w:color="auto"/>
      </w:divBdr>
    </w:div>
    <w:div w:id="1719012924">
      <w:bodyDiv w:val="1"/>
      <w:marLeft w:val="0"/>
      <w:marRight w:val="0"/>
      <w:marTop w:val="0"/>
      <w:marBottom w:val="0"/>
      <w:divBdr>
        <w:top w:val="none" w:sz="0" w:space="0" w:color="auto"/>
        <w:left w:val="none" w:sz="0" w:space="0" w:color="auto"/>
        <w:bottom w:val="none" w:sz="0" w:space="0" w:color="auto"/>
        <w:right w:val="none" w:sz="0" w:space="0" w:color="auto"/>
      </w:divBdr>
    </w:div>
    <w:div w:id="1728263885">
      <w:bodyDiv w:val="1"/>
      <w:marLeft w:val="0"/>
      <w:marRight w:val="0"/>
      <w:marTop w:val="0"/>
      <w:marBottom w:val="0"/>
      <w:divBdr>
        <w:top w:val="none" w:sz="0" w:space="0" w:color="auto"/>
        <w:left w:val="none" w:sz="0" w:space="0" w:color="auto"/>
        <w:bottom w:val="none" w:sz="0" w:space="0" w:color="auto"/>
        <w:right w:val="none" w:sz="0" w:space="0" w:color="auto"/>
      </w:divBdr>
    </w:div>
    <w:div w:id="1729112830">
      <w:bodyDiv w:val="1"/>
      <w:marLeft w:val="0"/>
      <w:marRight w:val="0"/>
      <w:marTop w:val="0"/>
      <w:marBottom w:val="0"/>
      <w:divBdr>
        <w:top w:val="none" w:sz="0" w:space="0" w:color="auto"/>
        <w:left w:val="none" w:sz="0" w:space="0" w:color="auto"/>
        <w:bottom w:val="none" w:sz="0" w:space="0" w:color="auto"/>
        <w:right w:val="none" w:sz="0" w:space="0" w:color="auto"/>
      </w:divBdr>
    </w:div>
    <w:div w:id="1737704451">
      <w:bodyDiv w:val="1"/>
      <w:marLeft w:val="0"/>
      <w:marRight w:val="0"/>
      <w:marTop w:val="0"/>
      <w:marBottom w:val="0"/>
      <w:divBdr>
        <w:top w:val="none" w:sz="0" w:space="0" w:color="auto"/>
        <w:left w:val="none" w:sz="0" w:space="0" w:color="auto"/>
        <w:bottom w:val="none" w:sz="0" w:space="0" w:color="auto"/>
        <w:right w:val="none" w:sz="0" w:space="0" w:color="auto"/>
      </w:divBdr>
      <w:divsChild>
        <w:div w:id="1575318822">
          <w:marLeft w:val="0"/>
          <w:marRight w:val="0"/>
          <w:marTop w:val="0"/>
          <w:marBottom w:val="0"/>
          <w:divBdr>
            <w:top w:val="none" w:sz="0" w:space="0" w:color="auto"/>
            <w:left w:val="none" w:sz="0" w:space="0" w:color="auto"/>
            <w:bottom w:val="none" w:sz="0" w:space="0" w:color="auto"/>
            <w:right w:val="none" w:sz="0" w:space="0" w:color="auto"/>
          </w:divBdr>
          <w:divsChild>
            <w:div w:id="713892649">
              <w:marLeft w:val="0"/>
              <w:marRight w:val="0"/>
              <w:marTop w:val="0"/>
              <w:marBottom w:val="0"/>
              <w:divBdr>
                <w:top w:val="none" w:sz="0" w:space="0" w:color="auto"/>
                <w:left w:val="none" w:sz="0" w:space="0" w:color="auto"/>
                <w:bottom w:val="none" w:sz="0" w:space="0" w:color="auto"/>
                <w:right w:val="none" w:sz="0" w:space="0" w:color="auto"/>
              </w:divBdr>
              <w:divsChild>
                <w:div w:id="1220633284">
                  <w:marLeft w:val="0"/>
                  <w:marRight w:val="0"/>
                  <w:marTop w:val="0"/>
                  <w:marBottom w:val="0"/>
                  <w:divBdr>
                    <w:top w:val="none" w:sz="0" w:space="0" w:color="auto"/>
                    <w:left w:val="none" w:sz="0" w:space="0" w:color="auto"/>
                    <w:bottom w:val="none" w:sz="0" w:space="0" w:color="auto"/>
                    <w:right w:val="none" w:sz="0" w:space="0" w:color="auto"/>
                  </w:divBdr>
                  <w:divsChild>
                    <w:div w:id="728262548">
                      <w:marLeft w:val="0"/>
                      <w:marRight w:val="0"/>
                      <w:marTop w:val="0"/>
                      <w:marBottom w:val="0"/>
                      <w:divBdr>
                        <w:top w:val="none" w:sz="0" w:space="0" w:color="auto"/>
                        <w:left w:val="none" w:sz="0" w:space="0" w:color="auto"/>
                        <w:bottom w:val="none" w:sz="0" w:space="0" w:color="auto"/>
                        <w:right w:val="none" w:sz="0" w:space="0" w:color="auto"/>
                      </w:divBdr>
                      <w:divsChild>
                        <w:div w:id="1237982608">
                          <w:marLeft w:val="0"/>
                          <w:marRight w:val="0"/>
                          <w:marTop w:val="0"/>
                          <w:marBottom w:val="0"/>
                          <w:divBdr>
                            <w:top w:val="none" w:sz="0" w:space="0" w:color="auto"/>
                            <w:left w:val="none" w:sz="0" w:space="0" w:color="auto"/>
                            <w:bottom w:val="none" w:sz="0" w:space="0" w:color="auto"/>
                            <w:right w:val="none" w:sz="0" w:space="0" w:color="auto"/>
                          </w:divBdr>
                          <w:divsChild>
                            <w:div w:id="5743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4446646">
      <w:bodyDiv w:val="1"/>
      <w:marLeft w:val="0"/>
      <w:marRight w:val="0"/>
      <w:marTop w:val="0"/>
      <w:marBottom w:val="0"/>
      <w:divBdr>
        <w:top w:val="none" w:sz="0" w:space="0" w:color="auto"/>
        <w:left w:val="none" w:sz="0" w:space="0" w:color="auto"/>
        <w:bottom w:val="none" w:sz="0" w:space="0" w:color="auto"/>
        <w:right w:val="none" w:sz="0" w:space="0" w:color="auto"/>
      </w:divBdr>
    </w:div>
    <w:div w:id="1744986384">
      <w:bodyDiv w:val="1"/>
      <w:marLeft w:val="0"/>
      <w:marRight w:val="0"/>
      <w:marTop w:val="0"/>
      <w:marBottom w:val="0"/>
      <w:divBdr>
        <w:top w:val="none" w:sz="0" w:space="0" w:color="auto"/>
        <w:left w:val="none" w:sz="0" w:space="0" w:color="auto"/>
        <w:bottom w:val="none" w:sz="0" w:space="0" w:color="auto"/>
        <w:right w:val="none" w:sz="0" w:space="0" w:color="auto"/>
      </w:divBdr>
    </w:div>
    <w:div w:id="1745446450">
      <w:bodyDiv w:val="1"/>
      <w:marLeft w:val="0"/>
      <w:marRight w:val="0"/>
      <w:marTop w:val="0"/>
      <w:marBottom w:val="0"/>
      <w:divBdr>
        <w:top w:val="none" w:sz="0" w:space="0" w:color="auto"/>
        <w:left w:val="none" w:sz="0" w:space="0" w:color="auto"/>
        <w:bottom w:val="none" w:sz="0" w:space="0" w:color="auto"/>
        <w:right w:val="none" w:sz="0" w:space="0" w:color="auto"/>
      </w:divBdr>
    </w:div>
    <w:div w:id="1756710821">
      <w:bodyDiv w:val="1"/>
      <w:marLeft w:val="0"/>
      <w:marRight w:val="0"/>
      <w:marTop w:val="0"/>
      <w:marBottom w:val="0"/>
      <w:divBdr>
        <w:top w:val="none" w:sz="0" w:space="0" w:color="auto"/>
        <w:left w:val="none" w:sz="0" w:space="0" w:color="auto"/>
        <w:bottom w:val="none" w:sz="0" w:space="0" w:color="auto"/>
        <w:right w:val="none" w:sz="0" w:space="0" w:color="auto"/>
      </w:divBdr>
    </w:div>
    <w:div w:id="1763258484">
      <w:bodyDiv w:val="1"/>
      <w:marLeft w:val="0"/>
      <w:marRight w:val="0"/>
      <w:marTop w:val="0"/>
      <w:marBottom w:val="0"/>
      <w:divBdr>
        <w:top w:val="none" w:sz="0" w:space="0" w:color="auto"/>
        <w:left w:val="none" w:sz="0" w:space="0" w:color="auto"/>
        <w:bottom w:val="none" w:sz="0" w:space="0" w:color="auto"/>
        <w:right w:val="none" w:sz="0" w:space="0" w:color="auto"/>
      </w:divBdr>
    </w:div>
    <w:div w:id="1772317836">
      <w:bodyDiv w:val="1"/>
      <w:marLeft w:val="0"/>
      <w:marRight w:val="0"/>
      <w:marTop w:val="0"/>
      <w:marBottom w:val="0"/>
      <w:divBdr>
        <w:top w:val="none" w:sz="0" w:space="0" w:color="auto"/>
        <w:left w:val="none" w:sz="0" w:space="0" w:color="auto"/>
        <w:bottom w:val="none" w:sz="0" w:space="0" w:color="auto"/>
        <w:right w:val="none" w:sz="0" w:space="0" w:color="auto"/>
      </w:divBdr>
    </w:div>
    <w:div w:id="1772583678">
      <w:bodyDiv w:val="1"/>
      <w:marLeft w:val="0"/>
      <w:marRight w:val="0"/>
      <w:marTop w:val="0"/>
      <w:marBottom w:val="0"/>
      <w:divBdr>
        <w:top w:val="none" w:sz="0" w:space="0" w:color="auto"/>
        <w:left w:val="none" w:sz="0" w:space="0" w:color="auto"/>
        <w:bottom w:val="none" w:sz="0" w:space="0" w:color="auto"/>
        <w:right w:val="none" w:sz="0" w:space="0" w:color="auto"/>
      </w:divBdr>
    </w:div>
    <w:div w:id="1776706740">
      <w:bodyDiv w:val="1"/>
      <w:marLeft w:val="0"/>
      <w:marRight w:val="0"/>
      <w:marTop w:val="0"/>
      <w:marBottom w:val="0"/>
      <w:divBdr>
        <w:top w:val="none" w:sz="0" w:space="0" w:color="auto"/>
        <w:left w:val="none" w:sz="0" w:space="0" w:color="auto"/>
        <w:bottom w:val="none" w:sz="0" w:space="0" w:color="auto"/>
        <w:right w:val="none" w:sz="0" w:space="0" w:color="auto"/>
      </w:divBdr>
    </w:div>
    <w:div w:id="1780106395">
      <w:bodyDiv w:val="1"/>
      <w:marLeft w:val="0"/>
      <w:marRight w:val="0"/>
      <w:marTop w:val="0"/>
      <w:marBottom w:val="0"/>
      <w:divBdr>
        <w:top w:val="none" w:sz="0" w:space="0" w:color="auto"/>
        <w:left w:val="none" w:sz="0" w:space="0" w:color="auto"/>
        <w:bottom w:val="none" w:sz="0" w:space="0" w:color="auto"/>
        <w:right w:val="none" w:sz="0" w:space="0" w:color="auto"/>
      </w:divBdr>
    </w:div>
    <w:div w:id="1785148841">
      <w:bodyDiv w:val="1"/>
      <w:marLeft w:val="0"/>
      <w:marRight w:val="0"/>
      <w:marTop w:val="0"/>
      <w:marBottom w:val="0"/>
      <w:divBdr>
        <w:top w:val="none" w:sz="0" w:space="0" w:color="auto"/>
        <w:left w:val="none" w:sz="0" w:space="0" w:color="auto"/>
        <w:bottom w:val="none" w:sz="0" w:space="0" w:color="auto"/>
        <w:right w:val="none" w:sz="0" w:space="0" w:color="auto"/>
      </w:divBdr>
    </w:div>
    <w:div w:id="1799562482">
      <w:bodyDiv w:val="1"/>
      <w:marLeft w:val="0"/>
      <w:marRight w:val="0"/>
      <w:marTop w:val="0"/>
      <w:marBottom w:val="0"/>
      <w:divBdr>
        <w:top w:val="none" w:sz="0" w:space="0" w:color="auto"/>
        <w:left w:val="none" w:sz="0" w:space="0" w:color="auto"/>
        <w:bottom w:val="none" w:sz="0" w:space="0" w:color="auto"/>
        <w:right w:val="none" w:sz="0" w:space="0" w:color="auto"/>
      </w:divBdr>
    </w:div>
    <w:div w:id="1800999442">
      <w:bodyDiv w:val="1"/>
      <w:marLeft w:val="0"/>
      <w:marRight w:val="0"/>
      <w:marTop w:val="0"/>
      <w:marBottom w:val="0"/>
      <w:divBdr>
        <w:top w:val="none" w:sz="0" w:space="0" w:color="auto"/>
        <w:left w:val="none" w:sz="0" w:space="0" w:color="auto"/>
        <w:bottom w:val="none" w:sz="0" w:space="0" w:color="auto"/>
        <w:right w:val="none" w:sz="0" w:space="0" w:color="auto"/>
      </w:divBdr>
    </w:div>
    <w:div w:id="1813863312">
      <w:bodyDiv w:val="1"/>
      <w:marLeft w:val="0"/>
      <w:marRight w:val="0"/>
      <w:marTop w:val="0"/>
      <w:marBottom w:val="0"/>
      <w:divBdr>
        <w:top w:val="none" w:sz="0" w:space="0" w:color="auto"/>
        <w:left w:val="none" w:sz="0" w:space="0" w:color="auto"/>
        <w:bottom w:val="none" w:sz="0" w:space="0" w:color="auto"/>
        <w:right w:val="none" w:sz="0" w:space="0" w:color="auto"/>
      </w:divBdr>
    </w:div>
    <w:div w:id="1813978423">
      <w:bodyDiv w:val="1"/>
      <w:marLeft w:val="0"/>
      <w:marRight w:val="0"/>
      <w:marTop w:val="0"/>
      <w:marBottom w:val="0"/>
      <w:divBdr>
        <w:top w:val="none" w:sz="0" w:space="0" w:color="auto"/>
        <w:left w:val="none" w:sz="0" w:space="0" w:color="auto"/>
        <w:bottom w:val="none" w:sz="0" w:space="0" w:color="auto"/>
        <w:right w:val="none" w:sz="0" w:space="0" w:color="auto"/>
      </w:divBdr>
    </w:div>
    <w:div w:id="1817061351">
      <w:bodyDiv w:val="1"/>
      <w:marLeft w:val="0"/>
      <w:marRight w:val="0"/>
      <w:marTop w:val="0"/>
      <w:marBottom w:val="0"/>
      <w:divBdr>
        <w:top w:val="none" w:sz="0" w:space="0" w:color="auto"/>
        <w:left w:val="none" w:sz="0" w:space="0" w:color="auto"/>
        <w:bottom w:val="none" w:sz="0" w:space="0" w:color="auto"/>
        <w:right w:val="none" w:sz="0" w:space="0" w:color="auto"/>
      </w:divBdr>
    </w:div>
    <w:div w:id="1819227678">
      <w:bodyDiv w:val="1"/>
      <w:marLeft w:val="0"/>
      <w:marRight w:val="0"/>
      <w:marTop w:val="0"/>
      <w:marBottom w:val="0"/>
      <w:divBdr>
        <w:top w:val="none" w:sz="0" w:space="0" w:color="auto"/>
        <w:left w:val="none" w:sz="0" w:space="0" w:color="auto"/>
        <w:bottom w:val="none" w:sz="0" w:space="0" w:color="auto"/>
        <w:right w:val="none" w:sz="0" w:space="0" w:color="auto"/>
      </w:divBdr>
    </w:div>
    <w:div w:id="1832792344">
      <w:bodyDiv w:val="1"/>
      <w:marLeft w:val="0"/>
      <w:marRight w:val="0"/>
      <w:marTop w:val="0"/>
      <w:marBottom w:val="0"/>
      <w:divBdr>
        <w:top w:val="none" w:sz="0" w:space="0" w:color="auto"/>
        <w:left w:val="none" w:sz="0" w:space="0" w:color="auto"/>
        <w:bottom w:val="none" w:sz="0" w:space="0" w:color="auto"/>
        <w:right w:val="none" w:sz="0" w:space="0" w:color="auto"/>
      </w:divBdr>
    </w:div>
    <w:div w:id="1845391163">
      <w:bodyDiv w:val="1"/>
      <w:marLeft w:val="0"/>
      <w:marRight w:val="0"/>
      <w:marTop w:val="0"/>
      <w:marBottom w:val="0"/>
      <w:divBdr>
        <w:top w:val="none" w:sz="0" w:space="0" w:color="auto"/>
        <w:left w:val="none" w:sz="0" w:space="0" w:color="auto"/>
        <w:bottom w:val="none" w:sz="0" w:space="0" w:color="auto"/>
        <w:right w:val="none" w:sz="0" w:space="0" w:color="auto"/>
      </w:divBdr>
    </w:div>
    <w:div w:id="1853690164">
      <w:bodyDiv w:val="1"/>
      <w:marLeft w:val="0"/>
      <w:marRight w:val="0"/>
      <w:marTop w:val="0"/>
      <w:marBottom w:val="0"/>
      <w:divBdr>
        <w:top w:val="none" w:sz="0" w:space="0" w:color="auto"/>
        <w:left w:val="none" w:sz="0" w:space="0" w:color="auto"/>
        <w:bottom w:val="none" w:sz="0" w:space="0" w:color="auto"/>
        <w:right w:val="none" w:sz="0" w:space="0" w:color="auto"/>
      </w:divBdr>
    </w:div>
    <w:div w:id="1857887077">
      <w:bodyDiv w:val="1"/>
      <w:marLeft w:val="0"/>
      <w:marRight w:val="0"/>
      <w:marTop w:val="0"/>
      <w:marBottom w:val="0"/>
      <w:divBdr>
        <w:top w:val="none" w:sz="0" w:space="0" w:color="auto"/>
        <w:left w:val="none" w:sz="0" w:space="0" w:color="auto"/>
        <w:bottom w:val="none" w:sz="0" w:space="0" w:color="auto"/>
        <w:right w:val="none" w:sz="0" w:space="0" w:color="auto"/>
      </w:divBdr>
    </w:div>
    <w:div w:id="1865437925">
      <w:bodyDiv w:val="1"/>
      <w:marLeft w:val="0"/>
      <w:marRight w:val="0"/>
      <w:marTop w:val="0"/>
      <w:marBottom w:val="0"/>
      <w:divBdr>
        <w:top w:val="none" w:sz="0" w:space="0" w:color="auto"/>
        <w:left w:val="none" w:sz="0" w:space="0" w:color="auto"/>
        <w:bottom w:val="none" w:sz="0" w:space="0" w:color="auto"/>
        <w:right w:val="none" w:sz="0" w:space="0" w:color="auto"/>
      </w:divBdr>
    </w:div>
    <w:div w:id="1869752503">
      <w:bodyDiv w:val="1"/>
      <w:marLeft w:val="0"/>
      <w:marRight w:val="0"/>
      <w:marTop w:val="0"/>
      <w:marBottom w:val="0"/>
      <w:divBdr>
        <w:top w:val="none" w:sz="0" w:space="0" w:color="auto"/>
        <w:left w:val="none" w:sz="0" w:space="0" w:color="auto"/>
        <w:bottom w:val="none" w:sz="0" w:space="0" w:color="auto"/>
        <w:right w:val="none" w:sz="0" w:space="0" w:color="auto"/>
      </w:divBdr>
    </w:div>
    <w:div w:id="1872063196">
      <w:bodyDiv w:val="1"/>
      <w:marLeft w:val="0"/>
      <w:marRight w:val="0"/>
      <w:marTop w:val="0"/>
      <w:marBottom w:val="0"/>
      <w:divBdr>
        <w:top w:val="none" w:sz="0" w:space="0" w:color="auto"/>
        <w:left w:val="none" w:sz="0" w:space="0" w:color="auto"/>
        <w:bottom w:val="none" w:sz="0" w:space="0" w:color="auto"/>
        <w:right w:val="none" w:sz="0" w:space="0" w:color="auto"/>
      </w:divBdr>
    </w:div>
    <w:div w:id="1875926250">
      <w:bodyDiv w:val="1"/>
      <w:marLeft w:val="0"/>
      <w:marRight w:val="0"/>
      <w:marTop w:val="0"/>
      <w:marBottom w:val="0"/>
      <w:divBdr>
        <w:top w:val="none" w:sz="0" w:space="0" w:color="auto"/>
        <w:left w:val="none" w:sz="0" w:space="0" w:color="auto"/>
        <w:bottom w:val="none" w:sz="0" w:space="0" w:color="auto"/>
        <w:right w:val="none" w:sz="0" w:space="0" w:color="auto"/>
      </w:divBdr>
    </w:div>
    <w:div w:id="1876192225">
      <w:bodyDiv w:val="1"/>
      <w:marLeft w:val="0"/>
      <w:marRight w:val="0"/>
      <w:marTop w:val="0"/>
      <w:marBottom w:val="0"/>
      <w:divBdr>
        <w:top w:val="none" w:sz="0" w:space="0" w:color="auto"/>
        <w:left w:val="none" w:sz="0" w:space="0" w:color="auto"/>
        <w:bottom w:val="none" w:sz="0" w:space="0" w:color="auto"/>
        <w:right w:val="none" w:sz="0" w:space="0" w:color="auto"/>
      </w:divBdr>
    </w:div>
    <w:div w:id="1880775292">
      <w:bodyDiv w:val="1"/>
      <w:marLeft w:val="0"/>
      <w:marRight w:val="0"/>
      <w:marTop w:val="0"/>
      <w:marBottom w:val="0"/>
      <w:divBdr>
        <w:top w:val="none" w:sz="0" w:space="0" w:color="auto"/>
        <w:left w:val="none" w:sz="0" w:space="0" w:color="auto"/>
        <w:bottom w:val="none" w:sz="0" w:space="0" w:color="auto"/>
        <w:right w:val="none" w:sz="0" w:space="0" w:color="auto"/>
      </w:divBdr>
    </w:div>
    <w:div w:id="1884974227">
      <w:bodyDiv w:val="1"/>
      <w:marLeft w:val="0"/>
      <w:marRight w:val="0"/>
      <w:marTop w:val="0"/>
      <w:marBottom w:val="0"/>
      <w:divBdr>
        <w:top w:val="none" w:sz="0" w:space="0" w:color="auto"/>
        <w:left w:val="none" w:sz="0" w:space="0" w:color="auto"/>
        <w:bottom w:val="none" w:sz="0" w:space="0" w:color="auto"/>
        <w:right w:val="none" w:sz="0" w:space="0" w:color="auto"/>
      </w:divBdr>
    </w:div>
    <w:div w:id="1888564476">
      <w:bodyDiv w:val="1"/>
      <w:marLeft w:val="0"/>
      <w:marRight w:val="0"/>
      <w:marTop w:val="0"/>
      <w:marBottom w:val="0"/>
      <w:divBdr>
        <w:top w:val="none" w:sz="0" w:space="0" w:color="auto"/>
        <w:left w:val="none" w:sz="0" w:space="0" w:color="auto"/>
        <w:bottom w:val="none" w:sz="0" w:space="0" w:color="auto"/>
        <w:right w:val="none" w:sz="0" w:space="0" w:color="auto"/>
      </w:divBdr>
    </w:div>
    <w:div w:id="1895698026">
      <w:bodyDiv w:val="1"/>
      <w:marLeft w:val="0"/>
      <w:marRight w:val="0"/>
      <w:marTop w:val="0"/>
      <w:marBottom w:val="0"/>
      <w:divBdr>
        <w:top w:val="none" w:sz="0" w:space="0" w:color="auto"/>
        <w:left w:val="none" w:sz="0" w:space="0" w:color="auto"/>
        <w:bottom w:val="none" w:sz="0" w:space="0" w:color="auto"/>
        <w:right w:val="none" w:sz="0" w:space="0" w:color="auto"/>
      </w:divBdr>
    </w:div>
    <w:div w:id="1896350064">
      <w:bodyDiv w:val="1"/>
      <w:marLeft w:val="0"/>
      <w:marRight w:val="0"/>
      <w:marTop w:val="0"/>
      <w:marBottom w:val="0"/>
      <w:divBdr>
        <w:top w:val="none" w:sz="0" w:space="0" w:color="auto"/>
        <w:left w:val="none" w:sz="0" w:space="0" w:color="auto"/>
        <w:bottom w:val="none" w:sz="0" w:space="0" w:color="auto"/>
        <w:right w:val="none" w:sz="0" w:space="0" w:color="auto"/>
      </w:divBdr>
    </w:div>
    <w:div w:id="1899047606">
      <w:bodyDiv w:val="1"/>
      <w:marLeft w:val="0"/>
      <w:marRight w:val="0"/>
      <w:marTop w:val="0"/>
      <w:marBottom w:val="0"/>
      <w:divBdr>
        <w:top w:val="none" w:sz="0" w:space="0" w:color="auto"/>
        <w:left w:val="none" w:sz="0" w:space="0" w:color="auto"/>
        <w:bottom w:val="none" w:sz="0" w:space="0" w:color="auto"/>
        <w:right w:val="none" w:sz="0" w:space="0" w:color="auto"/>
      </w:divBdr>
    </w:div>
    <w:div w:id="1905337098">
      <w:bodyDiv w:val="1"/>
      <w:marLeft w:val="0"/>
      <w:marRight w:val="0"/>
      <w:marTop w:val="0"/>
      <w:marBottom w:val="0"/>
      <w:divBdr>
        <w:top w:val="none" w:sz="0" w:space="0" w:color="auto"/>
        <w:left w:val="none" w:sz="0" w:space="0" w:color="auto"/>
        <w:bottom w:val="none" w:sz="0" w:space="0" w:color="auto"/>
        <w:right w:val="none" w:sz="0" w:space="0" w:color="auto"/>
      </w:divBdr>
    </w:div>
    <w:div w:id="1941838036">
      <w:bodyDiv w:val="1"/>
      <w:marLeft w:val="0"/>
      <w:marRight w:val="0"/>
      <w:marTop w:val="0"/>
      <w:marBottom w:val="0"/>
      <w:divBdr>
        <w:top w:val="none" w:sz="0" w:space="0" w:color="auto"/>
        <w:left w:val="none" w:sz="0" w:space="0" w:color="auto"/>
        <w:bottom w:val="none" w:sz="0" w:space="0" w:color="auto"/>
        <w:right w:val="none" w:sz="0" w:space="0" w:color="auto"/>
      </w:divBdr>
    </w:div>
    <w:div w:id="1946427191">
      <w:bodyDiv w:val="1"/>
      <w:marLeft w:val="0"/>
      <w:marRight w:val="0"/>
      <w:marTop w:val="0"/>
      <w:marBottom w:val="0"/>
      <w:divBdr>
        <w:top w:val="none" w:sz="0" w:space="0" w:color="auto"/>
        <w:left w:val="none" w:sz="0" w:space="0" w:color="auto"/>
        <w:bottom w:val="none" w:sz="0" w:space="0" w:color="auto"/>
        <w:right w:val="none" w:sz="0" w:space="0" w:color="auto"/>
      </w:divBdr>
    </w:div>
    <w:div w:id="1958754298">
      <w:bodyDiv w:val="1"/>
      <w:marLeft w:val="0"/>
      <w:marRight w:val="0"/>
      <w:marTop w:val="0"/>
      <w:marBottom w:val="0"/>
      <w:divBdr>
        <w:top w:val="none" w:sz="0" w:space="0" w:color="auto"/>
        <w:left w:val="none" w:sz="0" w:space="0" w:color="auto"/>
        <w:bottom w:val="none" w:sz="0" w:space="0" w:color="auto"/>
        <w:right w:val="none" w:sz="0" w:space="0" w:color="auto"/>
      </w:divBdr>
    </w:div>
    <w:div w:id="1960650127">
      <w:bodyDiv w:val="1"/>
      <w:marLeft w:val="0"/>
      <w:marRight w:val="0"/>
      <w:marTop w:val="0"/>
      <w:marBottom w:val="0"/>
      <w:divBdr>
        <w:top w:val="none" w:sz="0" w:space="0" w:color="auto"/>
        <w:left w:val="none" w:sz="0" w:space="0" w:color="auto"/>
        <w:bottom w:val="none" w:sz="0" w:space="0" w:color="auto"/>
        <w:right w:val="none" w:sz="0" w:space="0" w:color="auto"/>
      </w:divBdr>
    </w:div>
    <w:div w:id="1964381406">
      <w:bodyDiv w:val="1"/>
      <w:marLeft w:val="0"/>
      <w:marRight w:val="0"/>
      <w:marTop w:val="0"/>
      <w:marBottom w:val="0"/>
      <w:divBdr>
        <w:top w:val="none" w:sz="0" w:space="0" w:color="auto"/>
        <w:left w:val="none" w:sz="0" w:space="0" w:color="auto"/>
        <w:bottom w:val="none" w:sz="0" w:space="0" w:color="auto"/>
        <w:right w:val="none" w:sz="0" w:space="0" w:color="auto"/>
      </w:divBdr>
    </w:div>
    <w:div w:id="1972512672">
      <w:bodyDiv w:val="1"/>
      <w:marLeft w:val="0"/>
      <w:marRight w:val="0"/>
      <w:marTop w:val="0"/>
      <w:marBottom w:val="0"/>
      <w:divBdr>
        <w:top w:val="none" w:sz="0" w:space="0" w:color="auto"/>
        <w:left w:val="none" w:sz="0" w:space="0" w:color="auto"/>
        <w:bottom w:val="none" w:sz="0" w:space="0" w:color="auto"/>
        <w:right w:val="none" w:sz="0" w:space="0" w:color="auto"/>
      </w:divBdr>
    </w:div>
    <w:div w:id="1975670523">
      <w:bodyDiv w:val="1"/>
      <w:marLeft w:val="0"/>
      <w:marRight w:val="0"/>
      <w:marTop w:val="0"/>
      <w:marBottom w:val="0"/>
      <w:divBdr>
        <w:top w:val="none" w:sz="0" w:space="0" w:color="auto"/>
        <w:left w:val="none" w:sz="0" w:space="0" w:color="auto"/>
        <w:bottom w:val="none" w:sz="0" w:space="0" w:color="auto"/>
        <w:right w:val="none" w:sz="0" w:space="0" w:color="auto"/>
      </w:divBdr>
    </w:div>
    <w:div w:id="1992899697">
      <w:bodyDiv w:val="1"/>
      <w:marLeft w:val="0"/>
      <w:marRight w:val="0"/>
      <w:marTop w:val="0"/>
      <w:marBottom w:val="0"/>
      <w:divBdr>
        <w:top w:val="none" w:sz="0" w:space="0" w:color="auto"/>
        <w:left w:val="none" w:sz="0" w:space="0" w:color="auto"/>
        <w:bottom w:val="none" w:sz="0" w:space="0" w:color="auto"/>
        <w:right w:val="none" w:sz="0" w:space="0" w:color="auto"/>
      </w:divBdr>
    </w:div>
    <w:div w:id="1993170820">
      <w:bodyDiv w:val="1"/>
      <w:marLeft w:val="0"/>
      <w:marRight w:val="0"/>
      <w:marTop w:val="0"/>
      <w:marBottom w:val="0"/>
      <w:divBdr>
        <w:top w:val="none" w:sz="0" w:space="0" w:color="auto"/>
        <w:left w:val="none" w:sz="0" w:space="0" w:color="auto"/>
        <w:bottom w:val="none" w:sz="0" w:space="0" w:color="auto"/>
        <w:right w:val="none" w:sz="0" w:space="0" w:color="auto"/>
      </w:divBdr>
    </w:div>
    <w:div w:id="2006057271">
      <w:bodyDiv w:val="1"/>
      <w:marLeft w:val="0"/>
      <w:marRight w:val="0"/>
      <w:marTop w:val="0"/>
      <w:marBottom w:val="0"/>
      <w:divBdr>
        <w:top w:val="none" w:sz="0" w:space="0" w:color="auto"/>
        <w:left w:val="none" w:sz="0" w:space="0" w:color="auto"/>
        <w:bottom w:val="none" w:sz="0" w:space="0" w:color="auto"/>
        <w:right w:val="none" w:sz="0" w:space="0" w:color="auto"/>
      </w:divBdr>
    </w:div>
    <w:div w:id="2007855902">
      <w:bodyDiv w:val="1"/>
      <w:marLeft w:val="0"/>
      <w:marRight w:val="0"/>
      <w:marTop w:val="0"/>
      <w:marBottom w:val="0"/>
      <w:divBdr>
        <w:top w:val="none" w:sz="0" w:space="0" w:color="auto"/>
        <w:left w:val="none" w:sz="0" w:space="0" w:color="auto"/>
        <w:bottom w:val="none" w:sz="0" w:space="0" w:color="auto"/>
        <w:right w:val="none" w:sz="0" w:space="0" w:color="auto"/>
      </w:divBdr>
    </w:div>
    <w:div w:id="2009862042">
      <w:bodyDiv w:val="1"/>
      <w:marLeft w:val="0"/>
      <w:marRight w:val="0"/>
      <w:marTop w:val="0"/>
      <w:marBottom w:val="0"/>
      <w:divBdr>
        <w:top w:val="none" w:sz="0" w:space="0" w:color="auto"/>
        <w:left w:val="none" w:sz="0" w:space="0" w:color="auto"/>
        <w:bottom w:val="none" w:sz="0" w:space="0" w:color="auto"/>
        <w:right w:val="none" w:sz="0" w:space="0" w:color="auto"/>
      </w:divBdr>
    </w:div>
    <w:div w:id="2014380798">
      <w:bodyDiv w:val="1"/>
      <w:marLeft w:val="0"/>
      <w:marRight w:val="0"/>
      <w:marTop w:val="0"/>
      <w:marBottom w:val="0"/>
      <w:divBdr>
        <w:top w:val="none" w:sz="0" w:space="0" w:color="auto"/>
        <w:left w:val="none" w:sz="0" w:space="0" w:color="auto"/>
        <w:bottom w:val="none" w:sz="0" w:space="0" w:color="auto"/>
        <w:right w:val="none" w:sz="0" w:space="0" w:color="auto"/>
      </w:divBdr>
    </w:div>
    <w:div w:id="2014457472">
      <w:bodyDiv w:val="1"/>
      <w:marLeft w:val="0"/>
      <w:marRight w:val="0"/>
      <w:marTop w:val="0"/>
      <w:marBottom w:val="0"/>
      <w:divBdr>
        <w:top w:val="none" w:sz="0" w:space="0" w:color="auto"/>
        <w:left w:val="none" w:sz="0" w:space="0" w:color="auto"/>
        <w:bottom w:val="none" w:sz="0" w:space="0" w:color="auto"/>
        <w:right w:val="none" w:sz="0" w:space="0" w:color="auto"/>
      </w:divBdr>
    </w:div>
    <w:div w:id="2026325504">
      <w:bodyDiv w:val="1"/>
      <w:marLeft w:val="0"/>
      <w:marRight w:val="0"/>
      <w:marTop w:val="0"/>
      <w:marBottom w:val="0"/>
      <w:divBdr>
        <w:top w:val="none" w:sz="0" w:space="0" w:color="auto"/>
        <w:left w:val="none" w:sz="0" w:space="0" w:color="auto"/>
        <w:bottom w:val="none" w:sz="0" w:space="0" w:color="auto"/>
        <w:right w:val="none" w:sz="0" w:space="0" w:color="auto"/>
      </w:divBdr>
    </w:div>
    <w:div w:id="2040617819">
      <w:bodyDiv w:val="1"/>
      <w:marLeft w:val="0"/>
      <w:marRight w:val="0"/>
      <w:marTop w:val="0"/>
      <w:marBottom w:val="0"/>
      <w:divBdr>
        <w:top w:val="none" w:sz="0" w:space="0" w:color="auto"/>
        <w:left w:val="none" w:sz="0" w:space="0" w:color="auto"/>
        <w:bottom w:val="none" w:sz="0" w:space="0" w:color="auto"/>
        <w:right w:val="none" w:sz="0" w:space="0" w:color="auto"/>
      </w:divBdr>
    </w:div>
    <w:div w:id="2044866679">
      <w:bodyDiv w:val="1"/>
      <w:marLeft w:val="0"/>
      <w:marRight w:val="0"/>
      <w:marTop w:val="0"/>
      <w:marBottom w:val="0"/>
      <w:divBdr>
        <w:top w:val="none" w:sz="0" w:space="0" w:color="auto"/>
        <w:left w:val="none" w:sz="0" w:space="0" w:color="auto"/>
        <w:bottom w:val="none" w:sz="0" w:space="0" w:color="auto"/>
        <w:right w:val="none" w:sz="0" w:space="0" w:color="auto"/>
      </w:divBdr>
    </w:div>
    <w:div w:id="2054881752">
      <w:bodyDiv w:val="1"/>
      <w:marLeft w:val="0"/>
      <w:marRight w:val="0"/>
      <w:marTop w:val="0"/>
      <w:marBottom w:val="0"/>
      <w:divBdr>
        <w:top w:val="none" w:sz="0" w:space="0" w:color="auto"/>
        <w:left w:val="none" w:sz="0" w:space="0" w:color="auto"/>
        <w:bottom w:val="none" w:sz="0" w:space="0" w:color="auto"/>
        <w:right w:val="none" w:sz="0" w:space="0" w:color="auto"/>
      </w:divBdr>
    </w:div>
    <w:div w:id="2062710626">
      <w:bodyDiv w:val="1"/>
      <w:marLeft w:val="0"/>
      <w:marRight w:val="0"/>
      <w:marTop w:val="0"/>
      <w:marBottom w:val="0"/>
      <w:divBdr>
        <w:top w:val="none" w:sz="0" w:space="0" w:color="auto"/>
        <w:left w:val="none" w:sz="0" w:space="0" w:color="auto"/>
        <w:bottom w:val="none" w:sz="0" w:space="0" w:color="auto"/>
        <w:right w:val="none" w:sz="0" w:space="0" w:color="auto"/>
      </w:divBdr>
    </w:div>
    <w:div w:id="2066640089">
      <w:bodyDiv w:val="1"/>
      <w:marLeft w:val="0"/>
      <w:marRight w:val="0"/>
      <w:marTop w:val="0"/>
      <w:marBottom w:val="0"/>
      <w:divBdr>
        <w:top w:val="none" w:sz="0" w:space="0" w:color="auto"/>
        <w:left w:val="none" w:sz="0" w:space="0" w:color="auto"/>
        <w:bottom w:val="none" w:sz="0" w:space="0" w:color="auto"/>
        <w:right w:val="none" w:sz="0" w:space="0" w:color="auto"/>
      </w:divBdr>
    </w:div>
    <w:div w:id="2075854193">
      <w:bodyDiv w:val="1"/>
      <w:marLeft w:val="0"/>
      <w:marRight w:val="0"/>
      <w:marTop w:val="0"/>
      <w:marBottom w:val="0"/>
      <w:divBdr>
        <w:top w:val="none" w:sz="0" w:space="0" w:color="auto"/>
        <w:left w:val="none" w:sz="0" w:space="0" w:color="auto"/>
        <w:bottom w:val="none" w:sz="0" w:space="0" w:color="auto"/>
        <w:right w:val="none" w:sz="0" w:space="0" w:color="auto"/>
      </w:divBdr>
    </w:div>
    <w:div w:id="2088914365">
      <w:bodyDiv w:val="1"/>
      <w:marLeft w:val="0"/>
      <w:marRight w:val="0"/>
      <w:marTop w:val="0"/>
      <w:marBottom w:val="0"/>
      <w:divBdr>
        <w:top w:val="none" w:sz="0" w:space="0" w:color="auto"/>
        <w:left w:val="none" w:sz="0" w:space="0" w:color="auto"/>
        <w:bottom w:val="none" w:sz="0" w:space="0" w:color="auto"/>
        <w:right w:val="none" w:sz="0" w:space="0" w:color="auto"/>
      </w:divBdr>
    </w:div>
    <w:div w:id="2094469761">
      <w:bodyDiv w:val="1"/>
      <w:marLeft w:val="0"/>
      <w:marRight w:val="0"/>
      <w:marTop w:val="0"/>
      <w:marBottom w:val="0"/>
      <w:divBdr>
        <w:top w:val="none" w:sz="0" w:space="0" w:color="auto"/>
        <w:left w:val="none" w:sz="0" w:space="0" w:color="auto"/>
        <w:bottom w:val="none" w:sz="0" w:space="0" w:color="auto"/>
        <w:right w:val="none" w:sz="0" w:space="0" w:color="auto"/>
      </w:divBdr>
    </w:div>
    <w:div w:id="2101220729">
      <w:bodyDiv w:val="1"/>
      <w:marLeft w:val="0"/>
      <w:marRight w:val="0"/>
      <w:marTop w:val="0"/>
      <w:marBottom w:val="0"/>
      <w:divBdr>
        <w:top w:val="none" w:sz="0" w:space="0" w:color="auto"/>
        <w:left w:val="none" w:sz="0" w:space="0" w:color="auto"/>
        <w:bottom w:val="none" w:sz="0" w:space="0" w:color="auto"/>
        <w:right w:val="none" w:sz="0" w:space="0" w:color="auto"/>
      </w:divBdr>
    </w:div>
    <w:div w:id="2102943203">
      <w:bodyDiv w:val="1"/>
      <w:marLeft w:val="0"/>
      <w:marRight w:val="0"/>
      <w:marTop w:val="0"/>
      <w:marBottom w:val="0"/>
      <w:divBdr>
        <w:top w:val="none" w:sz="0" w:space="0" w:color="auto"/>
        <w:left w:val="none" w:sz="0" w:space="0" w:color="auto"/>
        <w:bottom w:val="none" w:sz="0" w:space="0" w:color="auto"/>
        <w:right w:val="none" w:sz="0" w:space="0" w:color="auto"/>
      </w:divBdr>
    </w:div>
    <w:div w:id="2107574144">
      <w:bodyDiv w:val="1"/>
      <w:marLeft w:val="0"/>
      <w:marRight w:val="0"/>
      <w:marTop w:val="0"/>
      <w:marBottom w:val="0"/>
      <w:divBdr>
        <w:top w:val="none" w:sz="0" w:space="0" w:color="auto"/>
        <w:left w:val="none" w:sz="0" w:space="0" w:color="auto"/>
        <w:bottom w:val="none" w:sz="0" w:space="0" w:color="auto"/>
        <w:right w:val="none" w:sz="0" w:space="0" w:color="auto"/>
      </w:divBdr>
    </w:div>
    <w:div w:id="2117868453">
      <w:bodyDiv w:val="1"/>
      <w:marLeft w:val="0"/>
      <w:marRight w:val="0"/>
      <w:marTop w:val="0"/>
      <w:marBottom w:val="0"/>
      <w:divBdr>
        <w:top w:val="none" w:sz="0" w:space="0" w:color="auto"/>
        <w:left w:val="none" w:sz="0" w:space="0" w:color="auto"/>
        <w:bottom w:val="none" w:sz="0" w:space="0" w:color="auto"/>
        <w:right w:val="none" w:sz="0" w:space="0" w:color="auto"/>
      </w:divBdr>
    </w:div>
    <w:div w:id="2125995833">
      <w:bodyDiv w:val="1"/>
      <w:marLeft w:val="0"/>
      <w:marRight w:val="0"/>
      <w:marTop w:val="0"/>
      <w:marBottom w:val="0"/>
      <w:divBdr>
        <w:top w:val="none" w:sz="0" w:space="0" w:color="auto"/>
        <w:left w:val="none" w:sz="0" w:space="0" w:color="auto"/>
        <w:bottom w:val="none" w:sz="0" w:space="0" w:color="auto"/>
        <w:right w:val="none" w:sz="0" w:space="0" w:color="auto"/>
      </w:divBdr>
    </w:div>
    <w:div w:id="2143184130">
      <w:bodyDiv w:val="1"/>
      <w:marLeft w:val="0"/>
      <w:marRight w:val="0"/>
      <w:marTop w:val="0"/>
      <w:marBottom w:val="0"/>
      <w:divBdr>
        <w:top w:val="none" w:sz="0" w:space="0" w:color="auto"/>
        <w:left w:val="none" w:sz="0" w:space="0" w:color="auto"/>
        <w:bottom w:val="none" w:sz="0" w:space="0" w:color="auto"/>
        <w:right w:val="none" w:sz="0" w:space="0" w:color="auto"/>
      </w:divBdr>
    </w:div>
    <w:div w:id="2144157783">
      <w:bodyDiv w:val="1"/>
      <w:marLeft w:val="0"/>
      <w:marRight w:val="0"/>
      <w:marTop w:val="0"/>
      <w:marBottom w:val="0"/>
      <w:divBdr>
        <w:top w:val="none" w:sz="0" w:space="0" w:color="auto"/>
        <w:left w:val="none" w:sz="0" w:space="0" w:color="auto"/>
        <w:bottom w:val="none" w:sz="0" w:space="0" w:color="auto"/>
        <w:right w:val="none" w:sz="0" w:space="0" w:color="auto"/>
      </w:divBdr>
    </w:div>
    <w:div w:id="21467709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chart" Target="charts/chart3.xml"/><Relationship Id="rId26" Type="http://schemas.openxmlformats.org/officeDocument/2006/relationships/chart" Target="charts/chart9.xml"/><Relationship Id="rId39" Type="http://schemas.openxmlformats.org/officeDocument/2006/relationships/header" Target="header7.xml"/><Relationship Id="rId21" Type="http://schemas.openxmlformats.org/officeDocument/2006/relationships/chart" Target="charts/chart6.xml"/><Relationship Id="rId34" Type="http://schemas.openxmlformats.org/officeDocument/2006/relationships/header" Target="header4.xml"/><Relationship Id="rId42" Type="http://schemas.openxmlformats.org/officeDocument/2006/relationships/header" Target="header9.xml"/><Relationship Id="rId47" Type="http://schemas.openxmlformats.org/officeDocument/2006/relationships/footer" Target="footer5.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chart" Target="charts/chart1.xml"/><Relationship Id="rId29" Type="http://schemas.openxmlformats.org/officeDocument/2006/relationships/chart" Target="charts/chart12.xml"/><Relationship Id="rId11" Type="http://schemas.openxmlformats.org/officeDocument/2006/relationships/image" Target="media/image3.png"/><Relationship Id="rId24" Type="http://schemas.openxmlformats.org/officeDocument/2006/relationships/hyperlink" Target="https://www.theccc.org.uk/publication/wales-fourth-carbon-budget/" TargetMode="External"/><Relationship Id="rId32" Type="http://schemas.openxmlformats.org/officeDocument/2006/relationships/chart" Target="charts/chart14.xml"/><Relationship Id="rId37" Type="http://schemas.openxmlformats.org/officeDocument/2006/relationships/header" Target="header6.xml"/><Relationship Id="rId40" Type="http://schemas.openxmlformats.org/officeDocument/2006/relationships/header" Target="header8.xml"/><Relationship Id="rId45"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yperlink" Target="https://www.gov.wales/welsh-housing-conditions-survey" TargetMode="External"/><Relationship Id="rId28" Type="http://schemas.openxmlformats.org/officeDocument/2006/relationships/chart" Target="charts/chart11.xml"/><Relationship Id="rId36" Type="http://schemas.openxmlformats.org/officeDocument/2006/relationships/footer" Target="footer2.xml"/><Relationship Id="rId49"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chart" Target="charts/chart4.xml"/><Relationship Id="rId31" Type="http://schemas.openxmlformats.org/officeDocument/2006/relationships/chart" Target="charts/chart13.xml"/><Relationship Id="rId4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1.xml"/><Relationship Id="rId22" Type="http://schemas.openxmlformats.org/officeDocument/2006/relationships/chart" Target="charts/chart7.xml"/><Relationship Id="rId27" Type="http://schemas.openxmlformats.org/officeDocument/2006/relationships/chart" Target="charts/chart10.xml"/><Relationship Id="rId30" Type="http://schemas.openxmlformats.org/officeDocument/2006/relationships/hyperlink" Target="https://www.ecitb.org.uk/wp-content/uploads/2020/08/Skills-Transferability-Report-FA.pdf" TargetMode="External"/><Relationship Id="rId35" Type="http://schemas.openxmlformats.org/officeDocument/2006/relationships/header" Target="header5.xml"/><Relationship Id="rId43" Type="http://schemas.openxmlformats.org/officeDocument/2006/relationships/header" Target="header10.xml"/><Relationship Id="rId48"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eader" Target="header1.xml"/><Relationship Id="rId17" Type="http://schemas.openxmlformats.org/officeDocument/2006/relationships/chart" Target="charts/chart2.xml"/><Relationship Id="rId25" Type="http://schemas.openxmlformats.org/officeDocument/2006/relationships/chart" Target="charts/chart8.xml"/><Relationship Id="rId33" Type="http://schemas.openxmlformats.org/officeDocument/2006/relationships/chart" Target="charts/chart15.xml"/><Relationship Id="rId38" Type="http://schemas.openxmlformats.org/officeDocument/2006/relationships/chart" Target="charts/chart16.xml"/><Relationship Id="rId46" Type="http://schemas.openxmlformats.org/officeDocument/2006/relationships/header" Target="header12.xml"/><Relationship Id="rId20" Type="http://schemas.openxmlformats.org/officeDocument/2006/relationships/chart" Target="charts/chart5.xml"/><Relationship Id="rId41"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s>
</file>

<file path=word/_rels/foot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footer4.xml.rels><?xml version="1.0" encoding="UTF-8" standalone="yes"?>
<Relationships xmlns="http://schemas.openxmlformats.org/package/2006/relationships"><Relationship Id="rId1" Type="http://schemas.openxmlformats.org/officeDocument/2006/relationships/image" Target="media/image8.png"/></Relationships>
</file>

<file path=word/_rels/footer5.xml.rels><?xml version="1.0" encoding="UTF-8" standalone="yes"?>
<Relationships xmlns="http://schemas.openxmlformats.org/package/2006/relationships"><Relationship Id="rId1" Type="http://schemas.openxmlformats.org/officeDocument/2006/relationships/image" Target="media/image9.png"/></Relationships>
</file>

<file path=word/_rels/footnotes.xml.rels><?xml version="1.0" encoding="UTF-8" standalone="yes"?>
<Relationships xmlns="http://schemas.openxmlformats.org/package/2006/relationships"><Relationship Id="rId1" Type="http://schemas.openxmlformats.org/officeDocument/2006/relationships/hyperlink" Target="https://www.gov.wales/sites/default/files/statistics-and-research/2018-12/070327-commuting-in-and-around-wales-e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1" Type="http://schemas.openxmlformats.org/officeDocument/2006/relationships/image" Target="media/image4.png"/></Relationships>
</file>

<file path=word/_rels/header7.xml.rels><?xml version="1.0" encoding="UTF-8" standalone="yes"?>
<Relationships xmlns="http://schemas.openxmlformats.org/package/2006/relationships"><Relationship Id="rId1" Type="http://schemas.openxmlformats.org/officeDocument/2006/relationships/image" Target="media/image4.png"/></Relationships>
</file>

<file path=word/_rels/header9.xml.rels><?xml version="1.0" encoding="UTF-8" standalone="yes"?>
<Relationships xmlns="http://schemas.openxmlformats.org/package/2006/relationships"><Relationship Id="rId1" Type="http://schemas.openxmlformats.org/officeDocument/2006/relationships/image" Target="media/image4.png"/></Relationships>
</file>

<file path=word/_rels/header10.xml.rels><?xml version="1.0" encoding="UTF-8" standalone="yes"?>
<Relationships xmlns="http://schemas.openxmlformats.org/package/2006/relationships"><Relationship Id="rId1" Type="http://schemas.openxmlformats.org/officeDocument/2006/relationships/image" Target="media/image7.png"/></Relationships>
</file>

<file path=word/_rels/header11.xml.rels><?xml version="1.0" encoding="UTF-8" standalone="yes"?>
<Relationships xmlns="http://schemas.openxmlformats.org/package/2006/relationships"><Relationship Id="rId1" Type="http://schemas.openxmlformats.org/officeDocument/2006/relationships/image" Target="media/image7.png"/></Relationships>
</file>

<file path=word/_rels/header12.xml.rels><?xml version="1.0" encoding="UTF-8" standalone="yes"?>
<Relationships xmlns="http://schemas.openxmlformats.org/package/2006/relationships"><Relationship Id="rId1" Type="http://schemas.openxmlformats.org/officeDocument/2006/relationships/image" Target="media/image7.png"/></Relationships>
</file>

<file path=word/charts/_rels/chart1.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orce%20Gap%20Chartbook.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orce%20Gap%20Chartbook.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orce%20Gap%20Chartbook.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orce%20Gap%20Chartbook.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orce%20Gap%20Chartbook.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orce%20Gap%20Chartbook.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orce%20Gap%20Chartbook.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Analysis\Workstream%202\Labour%20Demand%20model%20FINAL%20FINAL.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Analysis\Workstream%202\Labour%20Demand%20model%20FINAL.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Analysis\Workstream%203\Cross%20commuting\Analysis%20-%20Cross%20Commuting.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Analysis\Workstream%203\Cross%20commuting\Analysis%20-%20Cross%20Commuting.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Analysis\Workstream%203\Apprenticeships\Analysis%20v2.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roce%20Gap%20Chartbook.xlsx" TargetMode="External"/><Relationship Id="rId2" Type="http://schemas.microsoft.com/office/2011/relationships/chartColorStyle" Target="colors14.xml"/><Relationship Id="rId1" Type="http://schemas.microsoft.com/office/2011/relationships/chartStyle" Target="style14.xml"/><Relationship Id="rId4" Type="http://schemas.openxmlformats.org/officeDocument/2006/relationships/chartUserShapes" Target="../drawings/drawing1.xml"/></Relationships>
</file>

<file path=word/charts/_rels/chart15.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Feedback\Workforce%20Gap%20Chartbook.xlsx" TargetMode="External"/><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file:///\\cebrsvr7\company\Clients\Welsh%20Government\6817%20Workforce%20Needs%20Assessment\Analysis\Workstream%203\Apprenticeships\Analysis%20v2.xlsx" TargetMode="External"/><Relationship Id="rId2" Type="http://schemas.microsoft.com/office/2011/relationships/chartColorStyle" Target="colors16.xml"/><Relationship Id="rId1" Type="http://schemas.microsoft.com/office/2011/relationships/chartStyle" Target="style1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691930966729717"/>
          <c:y val="9.451307810661598E-2"/>
          <c:w val="0.50366603615888794"/>
          <c:h val="0.77720879717621505"/>
        </c:manualLayout>
      </c:layout>
      <c:doughnutChart>
        <c:varyColors val="1"/>
        <c:ser>
          <c:idx val="0"/>
          <c:order val="0"/>
          <c:tx>
            <c:strRef>
              <c:f>'Exec Sum'!$A$2</c:f>
              <c:strCache>
                <c:ptCount val="1"/>
                <c:pt idx="0">
                  <c:v>Core</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372-4281-9A61-4F2DEFF6C59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372-4281-9A61-4F2DEFF6C59C}"/>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372-4281-9A61-4F2DEFF6C59C}"/>
              </c:ext>
            </c:extLst>
          </c:dPt>
          <c:dLbls>
            <c:dLbl>
              <c:idx val="0"/>
              <c:layout>
                <c:manualLayout>
                  <c:x val="-0.13185513053471873"/>
                  <c:y val="1.4661203063902664E-2"/>
                </c:manualLayout>
              </c:layout>
              <c:spPr>
                <a:solidFill>
                  <a:schemeClr val="accent1"/>
                </a:solidFill>
                <a:ln>
                  <a:noFill/>
                </a:ln>
                <a:effectLst/>
              </c:spPr>
              <c:txPr>
                <a:bodyPr rot="0" spcFirstLastPara="1" vertOverflow="ellipsis" vert="horz" wrap="square" anchor="ctr" anchorCtr="1"/>
                <a:lstStyle/>
                <a:p>
                  <a:pPr>
                    <a:defRPr sz="7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372-4281-9A61-4F2DEFF6C59C}"/>
                </c:ext>
              </c:extLst>
            </c:dLbl>
            <c:dLbl>
              <c:idx val="1"/>
              <c:layout>
                <c:manualLayout>
                  <c:x val="0.13615866064079268"/>
                  <c:y val="-2.2401842626814567E-2"/>
                </c:manualLayout>
              </c:layout>
              <c:spPr>
                <a:solidFill>
                  <a:schemeClr val="accent2">
                    <a:lumMod val="60000"/>
                    <a:lumOff val="40000"/>
                  </a:schemeClr>
                </a:solidFill>
                <a:ln>
                  <a:noFill/>
                </a:ln>
                <a:effectLst/>
              </c:spPr>
              <c:txPr>
                <a:bodyPr rot="0" spcFirstLastPara="1" vertOverflow="ellipsis" vert="horz" wrap="square" anchor="ctr" anchorCtr="1"/>
                <a:lstStyle/>
                <a:p>
                  <a:pPr>
                    <a:defRPr sz="700" b="1" i="0" u="none" strike="noStrike" kern="1200" baseline="0">
                      <a:solidFill>
                        <a:schemeClr val="tx1">
                          <a:lumMod val="75000"/>
                          <a:lumOff val="25000"/>
                        </a:schemeClr>
                      </a:solidFill>
                      <a:latin typeface="Helvetica Neue LT Std 65 Medium"/>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372-4281-9A61-4F2DEFF6C59C}"/>
                </c:ext>
              </c:extLst>
            </c:dLbl>
            <c:dLbl>
              <c:idx val="2"/>
              <c:layout>
                <c:manualLayout>
                  <c:x val="6.0871266831291057E-2"/>
                  <c:y val="0.13429535593765066"/>
                </c:manualLayout>
              </c:layout>
              <c:spPr>
                <a:solidFill>
                  <a:schemeClr val="accent4">
                    <a:lumMod val="50000"/>
                  </a:schemeClr>
                </a:solidFill>
                <a:ln>
                  <a:noFill/>
                </a:ln>
                <a:effectLst/>
              </c:spPr>
              <c:txPr>
                <a:bodyPr rot="0" spcFirstLastPara="1" vertOverflow="ellipsis" vert="horz" wrap="square" anchor="ctr" anchorCtr="1"/>
                <a:lstStyle/>
                <a:p>
                  <a:pPr>
                    <a:defRPr sz="7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372-4281-9A61-4F2DEFF6C59C}"/>
                </c:ext>
              </c:extLst>
            </c:dLbl>
            <c:spPr>
              <a:noFill/>
              <a:ln>
                <a:noFill/>
              </a:ln>
              <a:effectLst/>
            </c:spPr>
            <c:txPr>
              <a:bodyPr rot="0" spcFirstLastPara="1" vertOverflow="ellipsis" vert="horz" wrap="square" anchor="ctr" anchorCtr="1"/>
              <a:lstStyle/>
              <a:p>
                <a:pPr>
                  <a:defRPr sz="700" b="0" i="0" u="none" strike="noStrike" kern="1200" baseline="0">
                    <a:solidFill>
                      <a:schemeClr val="tx1">
                        <a:lumMod val="75000"/>
                        <a:lumOff val="25000"/>
                      </a:schemeClr>
                    </a:solidFill>
                    <a:latin typeface="Helvetica Neue LT Std 65 Medium"/>
                    <a:ea typeface="+mn-ea"/>
                    <a:cs typeface="+mn-cs"/>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'Exec Sum'!$B$1:$D$1</c:f>
              <c:strCache>
                <c:ptCount val="3"/>
                <c:pt idx="0">
                  <c:v>Direct</c:v>
                </c:pt>
                <c:pt idx="1">
                  <c:v>Support</c:v>
                </c:pt>
                <c:pt idx="2">
                  <c:v>Supervisory</c:v>
                </c:pt>
              </c:strCache>
            </c:strRef>
          </c:cat>
          <c:val>
            <c:numRef>
              <c:f>'Exec Sum'!$B$2:$D$2</c:f>
              <c:numCache>
                <c:formatCode>#,##0</c:formatCode>
                <c:ptCount val="3"/>
                <c:pt idx="0">
                  <c:v>11900</c:v>
                </c:pt>
                <c:pt idx="1">
                  <c:v>9900</c:v>
                </c:pt>
                <c:pt idx="2">
                  <c:v>3100</c:v>
                </c:pt>
              </c:numCache>
            </c:numRef>
          </c:val>
          <c:extLst>
            <c:ext xmlns:c16="http://schemas.microsoft.com/office/drawing/2014/chart" uri="{C3380CC4-5D6E-409C-BE32-E72D297353CC}">
              <c16:uniqueId val="{00000006-C372-4281-9A61-4F2DEFF6C59C}"/>
            </c:ext>
          </c:extLst>
        </c:ser>
        <c:ser>
          <c:idx val="1"/>
          <c:order val="1"/>
          <c:tx>
            <c:strRef>
              <c:f>'Exec Sum'!$A$3</c:f>
              <c:strCache>
                <c:ptCount val="1"/>
                <c:pt idx="0">
                  <c:v>Adjacent</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8-C372-4281-9A61-4F2DEFF6C59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A-C372-4281-9A61-4F2DEFF6C59C}"/>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C-C372-4281-9A61-4F2DEFF6C59C}"/>
              </c:ext>
            </c:extLst>
          </c:dPt>
          <c:dLbls>
            <c:dLbl>
              <c:idx val="0"/>
              <c:layout>
                <c:manualLayout>
                  <c:x val="4.8417132216014833E-2"/>
                  <c:y val="-0.13793103448275865"/>
                </c:manualLayout>
              </c:layout>
              <c:spPr>
                <a:solidFill>
                  <a:schemeClr val="tx2"/>
                </a:solidFill>
                <a:ln>
                  <a:noFill/>
                </a:ln>
                <a:effectLst/>
              </c:spPr>
              <c:txPr>
                <a:bodyPr rot="0" spcFirstLastPara="1" vertOverflow="ellipsis" vert="horz" wrap="square" anchor="ctr" anchorCtr="1"/>
                <a:lstStyle/>
                <a:p>
                  <a:pPr>
                    <a:defRPr sz="7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C372-4281-9A61-4F2DEFF6C59C}"/>
                </c:ext>
              </c:extLst>
            </c:dLbl>
            <c:dLbl>
              <c:idx val="1"/>
              <c:layout>
                <c:manualLayout>
                  <c:x val="0.12302837835878236"/>
                  <c:y val="0.12807863302801423"/>
                </c:manualLayout>
              </c:layout>
              <c:spPr>
                <a:solidFill>
                  <a:schemeClr val="accent2">
                    <a:lumMod val="60000"/>
                    <a:lumOff val="40000"/>
                  </a:schemeClr>
                </a:solidFill>
                <a:ln>
                  <a:noFill/>
                </a:ln>
                <a:effectLst/>
              </c:spPr>
              <c:txPr>
                <a:bodyPr rot="0" spcFirstLastPara="1" vertOverflow="ellipsis" vert="horz" wrap="square" anchor="ctr" anchorCtr="1"/>
                <a:lstStyle/>
                <a:p>
                  <a:pPr>
                    <a:defRPr sz="700" b="1" i="0" u="none" strike="noStrike" kern="1200" baseline="0">
                      <a:solidFill>
                        <a:schemeClr val="tx1">
                          <a:lumMod val="75000"/>
                          <a:lumOff val="25000"/>
                        </a:schemeClr>
                      </a:solidFill>
                      <a:latin typeface="Helvetica Neue LT Std 65 Medium"/>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C372-4281-9A61-4F2DEFF6C59C}"/>
                </c:ext>
              </c:extLst>
            </c:dLbl>
            <c:dLbl>
              <c:idx val="2"/>
              <c:layout>
                <c:manualLayout>
                  <c:x val="-0.13780260707635011"/>
                  <c:y val="5.2681383757324109E-17"/>
                </c:manualLayout>
              </c:layout>
              <c:spPr>
                <a:solidFill>
                  <a:schemeClr val="accent4">
                    <a:lumMod val="50000"/>
                  </a:schemeClr>
                </a:solidFill>
                <a:ln>
                  <a:noFill/>
                </a:ln>
                <a:effectLst/>
              </c:spPr>
              <c:txPr>
                <a:bodyPr rot="0" spcFirstLastPara="1" vertOverflow="ellipsis" vert="horz" wrap="square" anchor="ctr" anchorCtr="1"/>
                <a:lstStyle/>
                <a:p>
                  <a:pPr>
                    <a:defRPr sz="7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C372-4281-9A61-4F2DEFF6C59C}"/>
                </c:ext>
              </c:extLst>
            </c:dLbl>
            <c:spPr>
              <a:noFill/>
              <a:ln>
                <a:noFill/>
              </a:ln>
              <a:effectLst/>
            </c:spPr>
            <c:txPr>
              <a:bodyPr rot="0" spcFirstLastPara="1" vertOverflow="ellipsis" vert="horz" wrap="square" anchor="ctr" anchorCtr="1"/>
              <a:lstStyle/>
              <a:p>
                <a:pPr>
                  <a:defRPr sz="700" b="0" i="0" u="none" strike="noStrike" kern="1200" baseline="0">
                    <a:solidFill>
                      <a:schemeClr val="tx1">
                        <a:lumMod val="75000"/>
                        <a:lumOff val="25000"/>
                      </a:schemeClr>
                    </a:solidFill>
                    <a:latin typeface="Helvetica Neue LT Std 65 Medium"/>
                    <a:ea typeface="+mn-ea"/>
                    <a:cs typeface="+mn-cs"/>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'Exec Sum'!$B$1:$D$1</c:f>
              <c:strCache>
                <c:ptCount val="3"/>
                <c:pt idx="0">
                  <c:v>Direct</c:v>
                </c:pt>
                <c:pt idx="1">
                  <c:v>Support</c:v>
                </c:pt>
                <c:pt idx="2">
                  <c:v>Supervisory</c:v>
                </c:pt>
              </c:strCache>
            </c:strRef>
          </c:cat>
          <c:val>
            <c:numRef>
              <c:f>'Exec Sum'!$B$3:$D$3</c:f>
              <c:numCache>
                <c:formatCode>#,##0</c:formatCode>
                <c:ptCount val="3"/>
                <c:pt idx="0">
                  <c:v>41600</c:v>
                </c:pt>
                <c:pt idx="1">
                  <c:v>17100</c:v>
                </c:pt>
                <c:pt idx="2">
                  <c:v>57700</c:v>
                </c:pt>
              </c:numCache>
            </c:numRef>
          </c:val>
          <c:extLst>
            <c:ext xmlns:c16="http://schemas.microsoft.com/office/drawing/2014/chart" uri="{C3380CC4-5D6E-409C-BE32-E72D297353CC}">
              <c16:uniqueId val="{0000000D-C372-4281-9A61-4F2DEFF6C59C}"/>
            </c:ext>
          </c:extLst>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r"/>
      <c:layout>
        <c:manualLayout>
          <c:xMode val="edge"/>
          <c:yMode val="edge"/>
          <c:x val="0.69119663296525824"/>
          <c:y val="0.34851411430714019"/>
          <c:w val="0.22201835717280902"/>
          <c:h val="0.30297123573838985"/>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latin typeface="Helvetica Neue LT Std 65 Medium"/>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'Exec Sum'!$A$8</c:f>
              <c:strCache>
                <c:ptCount val="1"/>
                <c:pt idx="0">
                  <c:v>Workforce Gap</c:v>
                </c:pt>
              </c:strCache>
            </c:strRef>
          </c:tx>
          <c:spPr>
            <a:solidFill>
              <a:srgbClr val="EE0000"/>
            </a:solidFill>
            <a:ln>
              <a:noFill/>
            </a:ln>
            <a:effectLst/>
          </c:spPr>
          <c:invertIfNegative val="0"/>
          <c:dLbls>
            <c:dLbl>
              <c:idx val="1"/>
              <c:delete val="1"/>
              <c:extLst>
                <c:ext xmlns:c15="http://schemas.microsoft.com/office/drawing/2012/chart" uri="{CE6537A1-D6FC-4f65-9D91-7224C49458BB}"/>
                <c:ext xmlns:c16="http://schemas.microsoft.com/office/drawing/2014/chart" uri="{C3380CC4-5D6E-409C-BE32-E72D297353CC}">
                  <c16:uniqueId val="{00000004-3D86-43D7-9EFE-8140697EB8DF}"/>
                </c:ext>
              </c:extLst>
            </c:dLbl>
            <c:dLbl>
              <c:idx val="3"/>
              <c:delete val="1"/>
              <c:extLst>
                <c:ext xmlns:c15="http://schemas.microsoft.com/office/drawing/2012/chart" uri="{CE6537A1-D6FC-4f65-9D91-7224C49458BB}"/>
                <c:ext xmlns:c16="http://schemas.microsoft.com/office/drawing/2014/chart" uri="{C3380CC4-5D6E-409C-BE32-E72D297353CC}">
                  <c16:uniqueId val="{00000005-3D86-43D7-9EFE-8140697EB8DF}"/>
                </c:ext>
              </c:extLst>
            </c:dLbl>
            <c:dLbl>
              <c:idx val="5"/>
              <c:delete val="1"/>
              <c:extLst>
                <c:ext xmlns:c15="http://schemas.microsoft.com/office/drawing/2012/chart" uri="{CE6537A1-D6FC-4f65-9D91-7224C49458BB}"/>
                <c:ext xmlns:c16="http://schemas.microsoft.com/office/drawing/2014/chart" uri="{C3380CC4-5D6E-409C-BE32-E72D297353CC}">
                  <c16:uniqueId val="{00000006-3D86-43D7-9EFE-8140697EB8DF}"/>
                </c:ext>
              </c:extLst>
            </c:dLbl>
            <c:dLbl>
              <c:idx val="7"/>
              <c:delete val="1"/>
              <c:extLst>
                <c:ext xmlns:c15="http://schemas.microsoft.com/office/drawing/2012/chart" uri="{CE6537A1-D6FC-4f65-9D91-7224C49458BB}"/>
                <c:ext xmlns:c16="http://schemas.microsoft.com/office/drawing/2014/chart" uri="{C3380CC4-5D6E-409C-BE32-E72D297353CC}">
                  <c16:uniqueId val="{00000007-3D86-43D7-9EFE-8140697EB8DF}"/>
                </c:ext>
              </c:extLst>
            </c:dLbl>
            <c:dLbl>
              <c:idx val="8"/>
              <c:delete val="1"/>
              <c:extLst>
                <c:ext xmlns:c15="http://schemas.microsoft.com/office/drawing/2012/chart" uri="{CE6537A1-D6FC-4f65-9D91-7224C49458BB}"/>
                <c:ext xmlns:c16="http://schemas.microsoft.com/office/drawing/2014/chart" uri="{C3380CC4-5D6E-409C-BE32-E72D297353CC}">
                  <c16:uniqueId val="{00000000-3D86-43D7-9EFE-8140697EB8DF}"/>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'Exec Sum'!$B$7:$K$7</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'Exec Sum'!$B$8:$K$8</c:f>
              <c:numCache>
                <c:formatCode>#,##0</c:formatCode>
                <c:ptCount val="10"/>
                <c:pt idx="0">
                  <c:v>3400</c:v>
                </c:pt>
                <c:pt idx="1">
                  <c:v>8000</c:v>
                </c:pt>
                <c:pt idx="2">
                  <c:v>13300</c:v>
                </c:pt>
                <c:pt idx="3">
                  <c:v>19300</c:v>
                </c:pt>
                <c:pt idx="4">
                  <c:v>27500</c:v>
                </c:pt>
                <c:pt idx="5">
                  <c:v>37900</c:v>
                </c:pt>
                <c:pt idx="6">
                  <c:v>53600</c:v>
                </c:pt>
                <c:pt idx="7">
                  <c:v>58300</c:v>
                </c:pt>
                <c:pt idx="8">
                  <c:v>56500</c:v>
                </c:pt>
                <c:pt idx="9">
                  <c:v>57500</c:v>
                </c:pt>
              </c:numCache>
            </c:numRef>
          </c:val>
          <c:extLst>
            <c:ext xmlns:c16="http://schemas.microsoft.com/office/drawing/2014/chart" uri="{C3380CC4-5D6E-409C-BE32-E72D297353CC}">
              <c16:uniqueId val="{00000000-EFA5-4819-834B-56B4673BB3E3}"/>
            </c:ext>
          </c:extLst>
        </c:ser>
        <c:dLbls>
          <c:showLegendKey val="0"/>
          <c:showVal val="0"/>
          <c:showCatName val="0"/>
          <c:showSerName val="0"/>
          <c:showPercent val="0"/>
          <c:showBubbleSize val="0"/>
        </c:dLbls>
        <c:gapWidth val="219"/>
        <c:overlap val="-27"/>
        <c:axId val="649661224"/>
        <c:axId val="649664824"/>
      </c:barChart>
      <c:catAx>
        <c:axId val="6496612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9664824"/>
        <c:crosses val="autoZero"/>
        <c:auto val="1"/>
        <c:lblAlgn val="ctr"/>
        <c:lblOffset val="100"/>
        <c:noMultiLvlLbl val="0"/>
      </c:catAx>
      <c:valAx>
        <c:axId val="649664824"/>
        <c:scaling>
          <c:orientation val="minMax"/>
        </c:scaling>
        <c:delete val="1"/>
        <c:axPos val="l"/>
        <c:numFmt formatCode="#,##0" sourceLinked="1"/>
        <c:majorTickMark val="none"/>
        <c:minorTickMark val="none"/>
        <c:tickLblPos val="nextTo"/>
        <c:crossAx val="64966122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'Exec Sum'!$A$14</c:f>
              <c:strCache>
                <c:ptCount val="1"/>
                <c:pt idx="0">
                  <c:v>Base</c:v>
                </c:pt>
              </c:strCache>
            </c:strRef>
          </c:tx>
          <c:spPr>
            <a:ln w="28575" cap="rnd">
              <a:solidFill>
                <a:srgbClr val="EE0000"/>
              </a:solidFill>
              <a:round/>
            </a:ln>
            <a:effectLst/>
          </c:spPr>
          <c:marker>
            <c:symbol val="none"/>
          </c:marker>
          <c:dLbls>
            <c:dLbl>
              <c:idx val="0"/>
              <c:layout>
                <c:manualLayout>
                  <c:x val="-0.12232415902140675"/>
                  <c:y val="0"/>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6D89-4EE7-A2CB-D411FAD9D160}"/>
                </c:ext>
              </c:extLst>
            </c:dLbl>
            <c:dLbl>
              <c:idx val="1"/>
              <c:delete val="1"/>
              <c:extLst>
                <c:ext xmlns:c15="http://schemas.microsoft.com/office/drawing/2012/chart" uri="{CE6537A1-D6FC-4f65-9D91-7224C49458BB}"/>
                <c:ext xmlns:c16="http://schemas.microsoft.com/office/drawing/2014/chart" uri="{C3380CC4-5D6E-409C-BE32-E72D297353CC}">
                  <c16:uniqueId val="{00000002-6D89-4EE7-A2CB-D411FAD9D160}"/>
                </c:ext>
              </c:extLst>
            </c:dLbl>
            <c:dLbl>
              <c:idx val="2"/>
              <c:delete val="1"/>
              <c:extLst>
                <c:ext xmlns:c15="http://schemas.microsoft.com/office/drawing/2012/chart" uri="{CE6537A1-D6FC-4f65-9D91-7224C49458BB}"/>
                <c:ext xmlns:c16="http://schemas.microsoft.com/office/drawing/2014/chart" uri="{C3380CC4-5D6E-409C-BE32-E72D297353CC}">
                  <c16:uniqueId val="{00000003-6D89-4EE7-A2CB-D411FAD9D160}"/>
                </c:ext>
              </c:extLst>
            </c:dLbl>
            <c:dLbl>
              <c:idx val="3"/>
              <c:delete val="1"/>
              <c:extLst>
                <c:ext xmlns:c15="http://schemas.microsoft.com/office/drawing/2012/chart" uri="{CE6537A1-D6FC-4f65-9D91-7224C49458BB}"/>
                <c:ext xmlns:c16="http://schemas.microsoft.com/office/drawing/2014/chart" uri="{C3380CC4-5D6E-409C-BE32-E72D297353CC}">
                  <c16:uniqueId val="{00000004-6D89-4EE7-A2CB-D411FAD9D160}"/>
                </c:ext>
              </c:extLst>
            </c:dLbl>
            <c:dLbl>
              <c:idx val="4"/>
              <c:layout>
                <c:manualLayout>
                  <c:x val="-4.0774719673802246E-3"/>
                  <c:y val="0.13588110403397027"/>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6D89-4EE7-A2CB-D411FAD9D160}"/>
                </c:ext>
              </c:extLst>
            </c:dLbl>
            <c:dLbl>
              <c:idx val="5"/>
              <c:delete val="1"/>
              <c:extLst>
                <c:ext xmlns:c15="http://schemas.microsoft.com/office/drawing/2012/chart" uri="{CE6537A1-D6FC-4f65-9D91-7224C49458BB}"/>
                <c:ext xmlns:c16="http://schemas.microsoft.com/office/drawing/2014/chart" uri="{C3380CC4-5D6E-409C-BE32-E72D297353CC}">
                  <c16:uniqueId val="{00000006-6D89-4EE7-A2CB-D411FAD9D160}"/>
                </c:ext>
              </c:extLst>
            </c:dLbl>
            <c:dLbl>
              <c:idx val="6"/>
              <c:delete val="1"/>
              <c:extLst>
                <c:ext xmlns:c15="http://schemas.microsoft.com/office/drawing/2012/chart" uri="{CE6537A1-D6FC-4f65-9D91-7224C49458BB}"/>
                <c:ext xmlns:c16="http://schemas.microsoft.com/office/drawing/2014/chart" uri="{C3380CC4-5D6E-409C-BE32-E72D297353CC}">
                  <c16:uniqueId val="{00000007-6D89-4EE7-A2CB-D411FAD9D160}"/>
                </c:ext>
              </c:extLst>
            </c:dLbl>
            <c:dLbl>
              <c:idx val="7"/>
              <c:delete val="1"/>
              <c:extLst>
                <c:ext xmlns:c15="http://schemas.microsoft.com/office/drawing/2012/chart" uri="{CE6537A1-D6FC-4f65-9D91-7224C49458BB}"/>
                <c:ext xmlns:c16="http://schemas.microsoft.com/office/drawing/2014/chart" uri="{C3380CC4-5D6E-409C-BE32-E72D297353CC}">
                  <c16:uniqueId val="{00000008-6D89-4EE7-A2CB-D411FAD9D160}"/>
                </c:ext>
              </c:extLst>
            </c:dLbl>
            <c:dLbl>
              <c:idx val="8"/>
              <c:delete val="1"/>
              <c:extLst>
                <c:ext xmlns:c15="http://schemas.microsoft.com/office/drawing/2012/chart" uri="{CE6537A1-D6FC-4f65-9D91-7224C49458BB}"/>
                <c:ext xmlns:c16="http://schemas.microsoft.com/office/drawing/2014/chart" uri="{C3380CC4-5D6E-409C-BE32-E72D297353CC}">
                  <c16:uniqueId val="{00000009-6D89-4EE7-A2CB-D411FAD9D160}"/>
                </c:ext>
              </c:extLst>
            </c:dLbl>
            <c:dLbl>
              <c:idx val="9"/>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6="http://schemas.microsoft.com/office/drawing/2014/chart" uri="{C3380CC4-5D6E-409C-BE32-E72D297353CC}">
                  <c16:uniqueId val="{0000000A-6D89-4EE7-A2CB-D411FAD9D16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'Exec Sum'!$B$13:$K$13</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'Exec Sum'!$B$14:$K$14</c:f>
              <c:numCache>
                <c:formatCode>0%</c:formatCode>
                <c:ptCount val="10"/>
                <c:pt idx="0">
                  <c:v>0.87467088162876783</c:v>
                </c:pt>
                <c:pt idx="1">
                  <c:v>0.74380667906745079</c:v>
                </c:pt>
                <c:pt idx="2">
                  <c:v>0.62893911458921192</c:v>
                </c:pt>
                <c:pt idx="3">
                  <c:v>0.5327728024295707</c:v>
                </c:pt>
                <c:pt idx="4">
                  <c:v>0.43868020289658405</c:v>
                </c:pt>
                <c:pt idx="5">
                  <c:v>0.35566777252841419</c:v>
                </c:pt>
                <c:pt idx="6">
                  <c:v>0.27607820804652472</c:v>
                </c:pt>
                <c:pt idx="7">
                  <c:v>0.25487002392209934</c:v>
                </c:pt>
                <c:pt idx="8">
                  <c:v>0.25605275695535584</c:v>
                </c:pt>
                <c:pt idx="9">
                  <c:v>0.24807671617157531</c:v>
                </c:pt>
              </c:numCache>
            </c:numRef>
          </c:val>
          <c:smooth val="0"/>
          <c:extLst>
            <c:ext xmlns:c16="http://schemas.microsoft.com/office/drawing/2014/chart" uri="{C3380CC4-5D6E-409C-BE32-E72D297353CC}">
              <c16:uniqueId val="{00000000-B99C-4E7A-A008-4B635D63A590}"/>
            </c:ext>
          </c:extLst>
        </c:ser>
        <c:dLbls>
          <c:showLegendKey val="0"/>
          <c:showVal val="0"/>
          <c:showCatName val="0"/>
          <c:showSerName val="0"/>
          <c:showPercent val="0"/>
          <c:showBubbleSize val="0"/>
        </c:dLbls>
        <c:smooth val="0"/>
        <c:axId val="644126584"/>
        <c:axId val="644128024"/>
      </c:lineChart>
      <c:catAx>
        <c:axId val="6441265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4128024"/>
        <c:crosses val="autoZero"/>
        <c:auto val="1"/>
        <c:lblAlgn val="ctr"/>
        <c:lblOffset val="100"/>
        <c:noMultiLvlLbl val="0"/>
      </c:catAx>
      <c:valAx>
        <c:axId val="644128024"/>
        <c:scaling>
          <c:orientation val="minMax"/>
        </c:scaling>
        <c:delete val="1"/>
        <c:axPos val="l"/>
        <c:numFmt formatCode="0%" sourceLinked="1"/>
        <c:majorTickMark val="none"/>
        <c:minorTickMark val="none"/>
        <c:tickLblPos val="nextTo"/>
        <c:crossAx val="644126584"/>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'Exec Sum'!$A$16</c:f>
              <c:strCache>
                <c:ptCount val="1"/>
                <c:pt idx="0">
                  <c:v>Low demand</c:v>
                </c:pt>
              </c:strCache>
            </c:strRef>
          </c:tx>
          <c:spPr>
            <a:ln w="28575" cap="rnd">
              <a:solidFill>
                <a:schemeClr val="accent1"/>
              </a:solidFill>
              <a:round/>
            </a:ln>
            <a:effectLst/>
          </c:spPr>
          <c:marker>
            <c:symbol val="none"/>
          </c:marker>
          <c:dPt>
            <c:idx val="0"/>
            <c:marker>
              <c:symbol val="none"/>
            </c:marker>
            <c:bubble3D val="0"/>
            <c:spPr>
              <a:ln w="28575" cap="rnd">
                <a:solidFill>
                  <a:srgbClr val="EE0000"/>
                </a:solidFill>
                <a:round/>
              </a:ln>
              <a:effectLst/>
            </c:spPr>
            <c:extLst>
              <c:ext xmlns:c16="http://schemas.microsoft.com/office/drawing/2014/chart" uri="{C3380CC4-5D6E-409C-BE32-E72D297353CC}">
                <c16:uniqueId val="{00000002-696E-41E4-914B-0D42EC5E7EAD}"/>
              </c:ext>
            </c:extLst>
          </c:dPt>
          <c:dPt>
            <c:idx val="1"/>
            <c:marker>
              <c:symbol val="none"/>
            </c:marker>
            <c:bubble3D val="0"/>
            <c:spPr>
              <a:ln w="28575" cap="rnd">
                <a:solidFill>
                  <a:srgbClr val="EE0000"/>
                </a:solidFill>
                <a:round/>
              </a:ln>
              <a:effectLst/>
            </c:spPr>
            <c:extLst>
              <c:ext xmlns:c16="http://schemas.microsoft.com/office/drawing/2014/chart" uri="{C3380CC4-5D6E-409C-BE32-E72D297353CC}">
                <c16:uniqueId val="{00000003-696E-41E4-914B-0D42EC5E7EAD}"/>
              </c:ext>
            </c:extLst>
          </c:dPt>
          <c:dPt>
            <c:idx val="2"/>
            <c:marker>
              <c:symbol val="none"/>
            </c:marker>
            <c:bubble3D val="0"/>
            <c:spPr>
              <a:ln w="28575" cap="rnd">
                <a:solidFill>
                  <a:schemeClr val="accent5"/>
                </a:solidFill>
                <a:round/>
              </a:ln>
              <a:effectLst/>
            </c:spPr>
            <c:extLst>
              <c:ext xmlns:c16="http://schemas.microsoft.com/office/drawing/2014/chart" uri="{C3380CC4-5D6E-409C-BE32-E72D297353CC}">
                <c16:uniqueId val="{00000004-696E-41E4-914B-0D42EC5E7EAD}"/>
              </c:ext>
            </c:extLst>
          </c:dPt>
          <c:dPt>
            <c:idx val="3"/>
            <c:marker>
              <c:symbol val="none"/>
            </c:marker>
            <c:bubble3D val="0"/>
            <c:spPr>
              <a:ln w="28575" cap="rnd">
                <a:solidFill>
                  <a:srgbClr val="EE0000"/>
                </a:solidFill>
                <a:round/>
              </a:ln>
              <a:effectLst/>
            </c:spPr>
            <c:extLst>
              <c:ext xmlns:c16="http://schemas.microsoft.com/office/drawing/2014/chart" uri="{C3380CC4-5D6E-409C-BE32-E72D297353CC}">
                <c16:uniqueId val="{00000005-696E-41E4-914B-0D42EC5E7EAD}"/>
              </c:ext>
            </c:extLst>
          </c:dPt>
          <c:dPt>
            <c:idx val="4"/>
            <c:marker>
              <c:symbol val="none"/>
            </c:marker>
            <c:bubble3D val="0"/>
            <c:spPr>
              <a:ln w="28575" cap="rnd">
                <a:solidFill>
                  <a:srgbClr val="EE0000"/>
                </a:solidFill>
                <a:round/>
              </a:ln>
              <a:effectLst/>
            </c:spPr>
            <c:extLst>
              <c:ext xmlns:c16="http://schemas.microsoft.com/office/drawing/2014/chart" uri="{C3380CC4-5D6E-409C-BE32-E72D297353CC}">
                <c16:uniqueId val="{00000006-696E-41E4-914B-0D42EC5E7EAD}"/>
              </c:ext>
            </c:extLst>
          </c:dPt>
          <c:dPt>
            <c:idx val="5"/>
            <c:marker>
              <c:symbol val="none"/>
            </c:marker>
            <c:bubble3D val="0"/>
            <c:spPr>
              <a:ln w="28575" cap="rnd">
                <a:solidFill>
                  <a:srgbClr val="EE0000"/>
                </a:solidFill>
                <a:round/>
              </a:ln>
              <a:effectLst/>
            </c:spPr>
            <c:extLst>
              <c:ext xmlns:c16="http://schemas.microsoft.com/office/drawing/2014/chart" uri="{C3380CC4-5D6E-409C-BE32-E72D297353CC}">
                <c16:uniqueId val="{00000007-696E-41E4-914B-0D42EC5E7EAD}"/>
              </c:ext>
            </c:extLst>
          </c:dPt>
          <c:dPt>
            <c:idx val="6"/>
            <c:marker>
              <c:symbol val="none"/>
            </c:marker>
            <c:bubble3D val="0"/>
            <c:spPr>
              <a:ln w="28575" cap="rnd">
                <a:solidFill>
                  <a:srgbClr val="EE0000"/>
                </a:solidFill>
                <a:round/>
              </a:ln>
              <a:effectLst/>
            </c:spPr>
            <c:extLst>
              <c:ext xmlns:c16="http://schemas.microsoft.com/office/drawing/2014/chart" uri="{C3380CC4-5D6E-409C-BE32-E72D297353CC}">
                <c16:uniqueId val="{00000008-696E-41E4-914B-0D42EC5E7EAD}"/>
              </c:ext>
            </c:extLst>
          </c:dPt>
          <c:dPt>
            <c:idx val="7"/>
            <c:marker>
              <c:symbol val="none"/>
            </c:marker>
            <c:bubble3D val="0"/>
            <c:spPr>
              <a:ln w="28575" cap="rnd">
                <a:solidFill>
                  <a:schemeClr val="accent5"/>
                </a:solidFill>
                <a:round/>
              </a:ln>
              <a:effectLst/>
            </c:spPr>
            <c:extLst>
              <c:ext xmlns:c16="http://schemas.microsoft.com/office/drawing/2014/chart" uri="{C3380CC4-5D6E-409C-BE32-E72D297353CC}">
                <c16:uniqueId val="{00000009-696E-41E4-914B-0D42EC5E7EAD}"/>
              </c:ext>
            </c:extLst>
          </c:dPt>
          <c:dPt>
            <c:idx val="8"/>
            <c:marker>
              <c:symbol val="none"/>
            </c:marker>
            <c:bubble3D val="0"/>
            <c:spPr>
              <a:ln w="28575" cap="rnd">
                <a:solidFill>
                  <a:schemeClr val="accent5"/>
                </a:solidFill>
                <a:round/>
              </a:ln>
              <a:effectLst/>
            </c:spPr>
            <c:extLst>
              <c:ext xmlns:c16="http://schemas.microsoft.com/office/drawing/2014/chart" uri="{C3380CC4-5D6E-409C-BE32-E72D297353CC}">
                <c16:uniqueId val="{0000000A-696E-41E4-914B-0D42EC5E7EAD}"/>
              </c:ext>
            </c:extLst>
          </c:dPt>
          <c:dPt>
            <c:idx val="9"/>
            <c:marker>
              <c:symbol val="none"/>
            </c:marker>
            <c:bubble3D val="0"/>
            <c:spPr>
              <a:ln w="28575" cap="rnd">
                <a:solidFill>
                  <a:srgbClr val="EE0000"/>
                </a:solidFill>
                <a:round/>
              </a:ln>
              <a:effectLst/>
            </c:spPr>
            <c:extLst>
              <c:ext xmlns:c16="http://schemas.microsoft.com/office/drawing/2014/chart" uri="{C3380CC4-5D6E-409C-BE32-E72D297353CC}">
                <c16:uniqueId val="{0000000B-696E-41E4-914B-0D42EC5E7EAD}"/>
              </c:ext>
            </c:extLst>
          </c:dPt>
          <c:dLbls>
            <c:dLbl>
              <c:idx val="0"/>
              <c:layout>
                <c:manualLayout>
                  <c:x val="-9.2145677928916189E-2"/>
                  <c:y val="6.7340067340067339E-2"/>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696E-41E4-914B-0D42EC5E7EAD}"/>
                </c:ext>
              </c:extLst>
            </c:dLbl>
            <c:dLbl>
              <c:idx val="1"/>
              <c:delete val="1"/>
              <c:extLst>
                <c:ext xmlns:c15="http://schemas.microsoft.com/office/drawing/2012/chart" uri="{CE6537A1-D6FC-4f65-9D91-7224C49458BB}"/>
                <c:ext xmlns:c16="http://schemas.microsoft.com/office/drawing/2014/chart" uri="{C3380CC4-5D6E-409C-BE32-E72D297353CC}">
                  <c16:uniqueId val="{00000003-696E-41E4-914B-0D42EC5E7EAD}"/>
                </c:ext>
              </c:extLst>
            </c:dLbl>
            <c:dLbl>
              <c:idx val="2"/>
              <c:layout>
                <c:manualLayout>
                  <c:x val="-0.12724879333040812"/>
                  <c:y val="3.3670033670033669E-2"/>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696E-41E4-914B-0D42EC5E7EAD}"/>
                </c:ext>
              </c:extLst>
            </c:dLbl>
            <c:dLbl>
              <c:idx val="3"/>
              <c:layout>
                <c:manualLayout>
                  <c:x val="-2.6327336551118911E-2"/>
                  <c:y val="-4.2517006802721087E-2"/>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696E-41E4-914B-0D42EC5E7EAD}"/>
                </c:ext>
              </c:extLst>
            </c:dLbl>
            <c:dLbl>
              <c:idx val="4"/>
              <c:delete val="1"/>
              <c:extLst>
                <c:ext xmlns:c15="http://schemas.microsoft.com/office/drawing/2012/chart" uri="{CE6537A1-D6FC-4f65-9D91-7224C49458BB}"/>
                <c:ext xmlns:c16="http://schemas.microsoft.com/office/drawing/2014/chart" uri="{C3380CC4-5D6E-409C-BE32-E72D297353CC}">
                  <c16:uniqueId val="{00000006-696E-41E4-914B-0D42EC5E7EAD}"/>
                </c:ext>
              </c:extLst>
            </c:dLbl>
            <c:dLbl>
              <c:idx val="5"/>
              <c:layout>
                <c:manualLayout>
                  <c:x val="-5.2654673102237905E-2"/>
                  <c:y val="-4.9989660383361167E-2"/>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696E-41E4-914B-0D42EC5E7EAD}"/>
                </c:ext>
              </c:extLst>
            </c:dLbl>
            <c:dLbl>
              <c:idx val="6"/>
              <c:delete val="1"/>
              <c:extLst>
                <c:ext xmlns:c15="http://schemas.microsoft.com/office/drawing/2012/chart" uri="{CE6537A1-D6FC-4f65-9D91-7224C49458BB}"/>
                <c:ext xmlns:c16="http://schemas.microsoft.com/office/drawing/2014/chart" uri="{C3380CC4-5D6E-409C-BE32-E72D297353CC}">
                  <c16:uniqueId val="{00000008-696E-41E4-914B-0D42EC5E7EAD}"/>
                </c:ext>
              </c:extLst>
            </c:dLbl>
            <c:dLbl>
              <c:idx val="7"/>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6="http://schemas.microsoft.com/office/drawing/2014/chart" uri="{C3380CC4-5D6E-409C-BE32-E72D297353CC}">
                  <c16:uniqueId val="{00000009-696E-41E4-914B-0D42EC5E7EAD}"/>
                </c:ext>
              </c:extLst>
            </c:dLbl>
            <c:dLbl>
              <c:idx val="8"/>
              <c:delete val="1"/>
              <c:extLst>
                <c:ext xmlns:c15="http://schemas.microsoft.com/office/drawing/2012/chart" uri="{CE6537A1-D6FC-4f65-9D91-7224C49458BB}"/>
                <c:ext xmlns:c16="http://schemas.microsoft.com/office/drawing/2014/chart" uri="{C3380CC4-5D6E-409C-BE32-E72D297353CC}">
                  <c16:uniqueId val="{0000000A-696E-41E4-914B-0D42EC5E7EAD}"/>
                </c:ext>
              </c:extLst>
            </c:dLbl>
            <c:dLbl>
              <c:idx val="9"/>
              <c:layout>
                <c:manualLayout>
                  <c:x val="0"/>
                  <c:y val="-3.0818420424719637E-2"/>
                </c:manualLayout>
              </c:layout>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696E-41E4-914B-0D42EC5E7EA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'Exec Sum'!$B$13:$K$13</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'Exec Sum'!$B$16:$K$16</c:f>
              <c:numCache>
                <c:formatCode>0%</c:formatCode>
                <c:ptCount val="10"/>
                <c:pt idx="0">
                  <c:v>0.97820085157112757</c:v>
                </c:pt>
                <c:pt idx="1">
                  <c:v>0.95908833098629132</c:v>
                </c:pt>
                <c:pt idx="2">
                  <c:v>0.87617281819036119</c:v>
                </c:pt>
                <c:pt idx="3">
                  <c:v>0.81036815619122371</c:v>
                </c:pt>
                <c:pt idx="4">
                  <c:v>0.7629396148191423</c:v>
                </c:pt>
                <c:pt idx="5">
                  <c:v>0.73833124301088282</c:v>
                </c:pt>
                <c:pt idx="6">
                  <c:v>0.73864370287559589</c:v>
                </c:pt>
                <c:pt idx="7">
                  <c:v>0.76327446941230315</c:v>
                </c:pt>
                <c:pt idx="8">
                  <c:v>0.81314014269839008</c:v>
                </c:pt>
                <c:pt idx="9">
                  <c:v>0.88383727919139043</c:v>
                </c:pt>
              </c:numCache>
            </c:numRef>
          </c:val>
          <c:smooth val="0"/>
          <c:extLst>
            <c:ext xmlns:c16="http://schemas.microsoft.com/office/drawing/2014/chart" uri="{C3380CC4-5D6E-409C-BE32-E72D297353CC}">
              <c16:uniqueId val="{00000000-696E-41E4-914B-0D42EC5E7EAD}"/>
            </c:ext>
          </c:extLst>
        </c:ser>
        <c:ser>
          <c:idx val="1"/>
          <c:order val="1"/>
          <c:tx>
            <c:strRef>
              <c:f>'Exec Sum'!$A$17</c:f>
              <c:strCache>
                <c:ptCount val="1"/>
              </c:strCache>
            </c:strRef>
          </c:tx>
          <c:spPr>
            <a:ln w="3175" cap="rnd">
              <a:solidFill>
                <a:schemeClr val="tx1"/>
              </a:solidFill>
              <a:prstDash val="dash"/>
              <a:round/>
            </a:ln>
            <a:effectLst/>
          </c:spPr>
          <c:marker>
            <c:symbol val="none"/>
          </c:marker>
          <c:cat>
            <c:strRef>
              <c:f>'Exec Sum'!$B$13:$K$13</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'Exec Sum'!$B$17:$K$17</c:f>
              <c:numCache>
                <c:formatCode>General</c:formatCode>
                <c:ptCount val="10"/>
              </c:numCache>
            </c:numRef>
          </c:val>
          <c:smooth val="0"/>
          <c:extLst>
            <c:ext xmlns:c16="http://schemas.microsoft.com/office/drawing/2014/chart" uri="{C3380CC4-5D6E-409C-BE32-E72D297353CC}">
              <c16:uniqueId val="{00000001-696E-41E4-914B-0D42EC5E7EAD}"/>
            </c:ext>
          </c:extLst>
        </c:ser>
        <c:dLbls>
          <c:showLegendKey val="0"/>
          <c:showVal val="0"/>
          <c:showCatName val="0"/>
          <c:showSerName val="0"/>
          <c:showPercent val="0"/>
          <c:showBubbleSize val="0"/>
        </c:dLbls>
        <c:smooth val="0"/>
        <c:axId val="644126584"/>
        <c:axId val="644128024"/>
      </c:lineChart>
      <c:catAx>
        <c:axId val="6441265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4128024"/>
        <c:crosses val="autoZero"/>
        <c:auto val="1"/>
        <c:lblAlgn val="ctr"/>
        <c:lblOffset val="100"/>
        <c:noMultiLvlLbl val="0"/>
      </c:catAx>
      <c:valAx>
        <c:axId val="644128024"/>
        <c:scaling>
          <c:orientation val="minMax"/>
          <c:max val="1.1000000000000001"/>
          <c:min val="0.70000000000000007"/>
        </c:scaling>
        <c:delete val="1"/>
        <c:axPos val="l"/>
        <c:numFmt formatCode="0%" sourceLinked="1"/>
        <c:majorTickMark val="out"/>
        <c:minorTickMark val="none"/>
        <c:tickLblPos val="nextTo"/>
        <c:crossAx val="644126584"/>
        <c:crosses val="autoZero"/>
        <c:crossBetween val="between"/>
        <c:majorUnit val="0.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690780260241321"/>
          <c:y val="0.14814814814814814"/>
          <c:w val="0.84126652013021341"/>
          <c:h val="0.57047482701026009"/>
        </c:manualLayout>
      </c:layout>
      <c:barChart>
        <c:barDir val="col"/>
        <c:grouping val="clustered"/>
        <c:varyColors val="0"/>
        <c:ser>
          <c:idx val="0"/>
          <c:order val="0"/>
          <c:spPr>
            <a:solidFill>
              <a:srgbClr val="EE0000"/>
            </a:solidFill>
            <a:ln>
              <a:noFill/>
            </a:ln>
            <a:effectLst/>
          </c:spPr>
          <c:invertIfNegative val="0"/>
          <c:dPt>
            <c:idx val="1"/>
            <c:invertIfNegative val="0"/>
            <c:bubble3D val="0"/>
            <c:spPr>
              <a:solidFill>
                <a:srgbClr val="EE0000"/>
              </a:solidFill>
              <a:ln>
                <a:noFill/>
              </a:ln>
              <a:effectLst/>
            </c:spPr>
            <c:extLst>
              <c:ext xmlns:c16="http://schemas.microsoft.com/office/drawing/2014/chart" uri="{C3380CC4-5D6E-409C-BE32-E72D297353CC}">
                <c16:uniqueId val="{00000006-74C1-400E-8DF9-16523819735B}"/>
              </c:ext>
            </c:extLst>
          </c:dPt>
          <c:dPt>
            <c:idx val="2"/>
            <c:invertIfNegative val="0"/>
            <c:bubble3D val="0"/>
            <c:spPr>
              <a:solidFill>
                <a:srgbClr val="EE0000"/>
              </a:solidFill>
              <a:ln>
                <a:noFill/>
              </a:ln>
              <a:effectLst/>
            </c:spPr>
            <c:extLst>
              <c:ext xmlns:c16="http://schemas.microsoft.com/office/drawing/2014/chart" uri="{C3380CC4-5D6E-409C-BE32-E72D297353CC}">
                <c16:uniqueId val="{00000007-74C1-400E-8DF9-16523819735B}"/>
              </c:ext>
            </c:extLst>
          </c:dPt>
          <c:dPt>
            <c:idx val="3"/>
            <c:invertIfNegative val="0"/>
            <c:bubble3D val="0"/>
            <c:spPr>
              <a:solidFill>
                <a:srgbClr val="EE0000"/>
              </a:solidFill>
              <a:ln>
                <a:noFill/>
              </a:ln>
              <a:effectLst/>
            </c:spPr>
            <c:extLst>
              <c:ext xmlns:c16="http://schemas.microsoft.com/office/drawing/2014/chart" uri="{C3380CC4-5D6E-409C-BE32-E72D297353CC}">
                <c16:uniqueId val="{00000008-74C1-400E-8DF9-16523819735B}"/>
              </c:ext>
            </c:extLst>
          </c:dPt>
          <c:dPt>
            <c:idx val="4"/>
            <c:invertIfNegative val="0"/>
            <c:bubble3D val="0"/>
            <c:spPr>
              <a:solidFill>
                <a:srgbClr val="EE0000"/>
              </a:solidFill>
              <a:ln>
                <a:noFill/>
              </a:ln>
              <a:effectLst/>
            </c:spPr>
            <c:extLst>
              <c:ext xmlns:c16="http://schemas.microsoft.com/office/drawing/2014/chart" uri="{C3380CC4-5D6E-409C-BE32-E72D297353CC}">
                <c16:uniqueId val="{00000001-7870-41E0-A238-A99EFDF0D3C4}"/>
              </c:ext>
            </c:extLst>
          </c:dPt>
          <c:dPt>
            <c:idx val="5"/>
            <c:invertIfNegative val="0"/>
            <c:bubble3D val="0"/>
            <c:spPr>
              <a:solidFill>
                <a:srgbClr val="EE0000"/>
              </a:solidFill>
              <a:ln>
                <a:noFill/>
              </a:ln>
              <a:effectLst/>
            </c:spPr>
            <c:extLst>
              <c:ext xmlns:c16="http://schemas.microsoft.com/office/drawing/2014/chart" uri="{C3380CC4-5D6E-409C-BE32-E72D297353CC}">
                <c16:uniqueId val="{00000002-7870-41E0-A238-A99EFDF0D3C4}"/>
              </c:ext>
            </c:extLst>
          </c:dPt>
          <c:dPt>
            <c:idx val="6"/>
            <c:invertIfNegative val="0"/>
            <c:bubble3D val="0"/>
            <c:spPr>
              <a:solidFill>
                <a:srgbClr val="EE0000"/>
              </a:solidFill>
              <a:ln>
                <a:noFill/>
              </a:ln>
              <a:effectLst/>
            </c:spPr>
            <c:extLst>
              <c:ext xmlns:c16="http://schemas.microsoft.com/office/drawing/2014/chart" uri="{C3380CC4-5D6E-409C-BE32-E72D297353CC}">
                <c16:uniqueId val="{00000003-7870-41E0-A238-A99EFDF0D3C4}"/>
              </c:ext>
            </c:extLst>
          </c:dPt>
          <c:dPt>
            <c:idx val="7"/>
            <c:invertIfNegative val="0"/>
            <c:bubble3D val="0"/>
            <c:spPr>
              <a:solidFill>
                <a:srgbClr val="EE0000"/>
              </a:solidFill>
              <a:ln>
                <a:noFill/>
              </a:ln>
              <a:effectLst/>
            </c:spPr>
            <c:extLst>
              <c:ext xmlns:c16="http://schemas.microsoft.com/office/drawing/2014/chart" uri="{C3380CC4-5D6E-409C-BE32-E72D297353CC}">
                <c16:uniqueId val="{00000009-74C1-400E-8DF9-16523819735B}"/>
              </c:ext>
            </c:extLst>
          </c:dPt>
          <c:dPt>
            <c:idx val="8"/>
            <c:invertIfNegative val="0"/>
            <c:bubble3D val="0"/>
            <c:spPr>
              <a:solidFill>
                <a:srgbClr val="EE0000"/>
              </a:solidFill>
              <a:ln>
                <a:noFill/>
              </a:ln>
              <a:effectLst/>
            </c:spPr>
            <c:extLst>
              <c:ext xmlns:c16="http://schemas.microsoft.com/office/drawing/2014/chart" uri="{C3380CC4-5D6E-409C-BE32-E72D297353CC}">
                <c16:uniqueId val="{0000000A-74C1-400E-8DF9-16523819735B}"/>
              </c:ext>
            </c:extLst>
          </c:dPt>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870-41E0-A238-A99EFDF0D3C4}"/>
                </c:ext>
              </c:extLst>
            </c:dLbl>
            <c:dLbl>
              <c:idx val="5"/>
              <c:layout>
                <c:manualLayout>
                  <c:x val="-4.3878894251864857E-3"/>
                  <c:y val="3.367003367003365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870-41E0-A238-A99EFDF0D3C4}"/>
                </c:ext>
              </c:extLst>
            </c:dLbl>
            <c:dLbl>
              <c:idx val="9"/>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7870-41E0-A238-A99EFDF0D3C4}"/>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'Exec Sum'!$B$7:$K$7</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'Exec Sum'!$B$9:$K$9</c:f>
              <c:numCache>
                <c:formatCode>#,##0</c:formatCode>
                <c:ptCount val="10"/>
                <c:pt idx="0">
                  <c:v>500</c:v>
                </c:pt>
                <c:pt idx="1">
                  <c:v>1000</c:v>
                </c:pt>
                <c:pt idx="2">
                  <c:v>3200</c:v>
                </c:pt>
                <c:pt idx="3">
                  <c:v>5100</c:v>
                </c:pt>
                <c:pt idx="4">
                  <c:v>6700</c:v>
                </c:pt>
                <c:pt idx="5">
                  <c:v>7400</c:v>
                </c:pt>
                <c:pt idx="6">
                  <c:v>7200</c:v>
                </c:pt>
                <c:pt idx="7">
                  <c:v>6200</c:v>
                </c:pt>
                <c:pt idx="8">
                  <c:v>4500</c:v>
                </c:pt>
                <c:pt idx="9">
                  <c:v>2500</c:v>
                </c:pt>
              </c:numCache>
            </c:numRef>
          </c:val>
          <c:extLst>
            <c:ext xmlns:c16="http://schemas.microsoft.com/office/drawing/2014/chart" uri="{C3380CC4-5D6E-409C-BE32-E72D297353CC}">
              <c16:uniqueId val="{00000000-7870-41E0-A238-A99EFDF0D3C4}"/>
            </c:ext>
          </c:extLst>
        </c:ser>
        <c:dLbls>
          <c:showLegendKey val="0"/>
          <c:showVal val="0"/>
          <c:showCatName val="0"/>
          <c:showSerName val="0"/>
          <c:showPercent val="0"/>
          <c:showBubbleSize val="0"/>
        </c:dLbls>
        <c:gapWidth val="219"/>
        <c:overlap val="-27"/>
        <c:axId val="1055451920"/>
        <c:axId val="1055449760"/>
      </c:barChart>
      <c:catAx>
        <c:axId val="1055451920"/>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55449760"/>
        <c:crosses val="autoZero"/>
        <c:auto val="1"/>
        <c:lblAlgn val="ctr"/>
        <c:lblOffset val="100"/>
        <c:noMultiLvlLbl val="0"/>
      </c:catAx>
      <c:valAx>
        <c:axId val="1055449760"/>
        <c:scaling>
          <c:orientation val="minMax"/>
        </c:scaling>
        <c:delete val="1"/>
        <c:axPos val="l"/>
        <c:numFmt formatCode="#,##0" sourceLinked="1"/>
        <c:majorTickMark val="none"/>
        <c:minorTickMark val="none"/>
        <c:tickLblPos val="nextTo"/>
        <c:crossAx val="1055451920"/>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'Exec Sum'!$A$15</c:f>
              <c:strCache>
                <c:ptCount val="1"/>
                <c:pt idx="0">
                  <c:v>High demand</c:v>
                </c:pt>
              </c:strCache>
            </c:strRef>
          </c:tx>
          <c:spPr>
            <a:ln w="28575" cap="rnd">
              <a:solidFill>
                <a:srgbClr val="EE0000"/>
              </a:solidFill>
              <a:round/>
            </a:ln>
            <a:effectLst/>
          </c:spPr>
          <c:marker>
            <c:symbol val="none"/>
          </c:marker>
          <c:dLbls>
            <c:dLbl>
              <c:idx val="0"/>
              <c:layout>
                <c:manualLayout>
                  <c:x val="-0.12961618060138269"/>
                  <c:y val="-1.9486736338806111E-1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804-4618-8E2B-8A5F662C2ACC}"/>
                </c:ext>
              </c:extLst>
            </c:dLbl>
            <c:dLbl>
              <c:idx val="1"/>
              <c:delete val="1"/>
              <c:extLst>
                <c:ext xmlns:c15="http://schemas.microsoft.com/office/drawing/2012/chart" uri="{CE6537A1-D6FC-4f65-9D91-7224C49458BB}"/>
                <c:ext xmlns:c16="http://schemas.microsoft.com/office/drawing/2014/chart" uri="{C3380CC4-5D6E-409C-BE32-E72D297353CC}">
                  <c16:uniqueId val="{00000001-8804-4618-8E2B-8A5F662C2ACC}"/>
                </c:ext>
              </c:extLst>
            </c:dLbl>
            <c:dLbl>
              <c:idx val="2"/>
              <c:delete val="1"/>
              <c:extLst>
                <c:ext xmlns:c15="http://schemas.microsoft.com/office/drawing/2012/chart" uri="{CE6537A1-D6FC-4f65-9D91-7224C49458BB}"/>
                <c:ext xmlns:c16="http://schemas.microsoft.com/office/drawing/2014/chart" uri="{C3380CC4-5D6E-409C-BE32-E72D297353CC}">
                  <c16:uniqueId val="{00000002-8804-4618-8E2B-8A5F662C2ACC}"/>
                </c:ext>
              </c:extLst>
            </c:dLbl>
            <c:dLbl>
              <c:idx val="3"/>
              <c:delete val="1"/>
              <c:extLst>
                <c:ext xmlns:c15="http://schemas.microsoft.com/office/drawing/2012/chart" uri="{CE6537A1-D6FC-4f65-9D91-7224C49458BB}"/>
                <c:ext xmlns:c16="http://schemas.microsoft.com/office/drawing/2014/chart" uri="{C3380CC4-5D6E-409C-BE32-E72D297353CC}">
                  <c16:uniqueId val="{00000003-8804-4618-8E2B-8A5F662C2ACC}"/>
                </c:ext>
              </c:extLst>
            </c:dLbl>
            <c:dLbl>
              <c:idx val="4"/>
              <c:layout>
                <c:manualLayout>
                  <c:x val="-2.8540629437555576E-2"/>
                  <c:y val="9.293830695405498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804-4618-8E2B-8A5F662C2ACC}"/>
                </c:ext>
              </c:extLst>
            </c:dLbl>
            <c:dLbl>
              <c:idx val="5"/>
              <c:delete val="1"/>
              <c:extLst>
                <c:ext xmlns:c15="http://schemas.microsoft.com/office/drawing/2012/chart" uri="{CE6537A1-D6FC-4f65-9D91-7224C49458BB}"/>
                <c:ext xmlns:c16="http://schemas.microsoft.com/office/drawing/2014/chart" uri="{C3380CC4-5D6E-409C-BE32-E72D297353CC}">
                  <c16:uniqueId val="{00000005-8804-4618-8E2B-8A5F662C2ACC}"/>
                </c:ext>
              </c:extLst>
            </c:dLbl>
            <c:dLbl>
              <c:idx val="6"/>
              <c:delete val="1"/>
              <c:extLst>
                <c:ext xmlns:c15="http://schemas.microsoft.com/office/drawing/2012/chart" uri="{CE6537A1-D6FC-4f65-9D91-7224C49458BB}"/>
                <c:ext xmlns:c16="http://schemas.microsoft.com/office/drawing/2014/chart" uri="{C3380CC4-5D6E-409C-BE32-E72D297353CC}">
                  <c16:uniqueId val="{00000006-8804-4618-8E2B-8A5F662C2ACC}"/>
                </c:ext>
              </c:extLst>
            </c:dLbl>
            <c:dLbl>
              <c:idx val="7"/>
              <c:delete val="1"/>
              <c:extLst>
                <c:ext xmlns:c15="http://schemas.microsoft.com/office/drawing/2012/chart" uri="{CE6537A1-D6FC-4f65-9D91-7224C49458BB}"/>
                <c:ext xmlns:c16="http://schemas.microsoft.com/office/drawing/2014/chart" uri="{C3380CC4-5D6E-409C-BE32-E72D297353CC}">
                  <c16:uniqueId val="{00000007-8804-4618-8E2B-8A5F662C2ACC}"/>
                </c:ext>
              </c:extLst>
            </c:dLbl>
            <c:dLbl>
              <c:idx val="8"/>
              <c:delete val="1"/>
              <c:extLst>
                <c:ext xmlns:c15="http://schemas.microsoft.com/office/drawing/2012/chart" uri="{CE6537A1-D6FC-4f65-9D91-7224C49458BB}"/>
                <c:ext xmlns:c16="http://schemas.microsoft.com/office/drawing/2014/chart" uri="{C3380CC4-5D6E-409C-BE32-E72D297353CC}">
                  <c16:uniqueId val="{00000008-8804-4618-8E2B-8A5F662C2ACC}"/>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'Exec Sum'!$B$13:$K$13</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'Exec Sum'!$B$15:$K$15</c:f>
              <c:numCache>
                <c:formatCode>0%</c:formatCode>
                <c:ptCount val="10"/>
                <c:pt idx="0">
                  <c:v>0.79963106181189658</c:v>
                </c:pt>
                <c:pt idx="1">
                  <c:v>0.67762974894653905</c:v>
                </c:pt>
                <c:pt idx="2">
                  <c:v>0.56367759308384757</c:v>
                </c:pt>
                <c:pt idx="3">
                  <c:v>0.46272611642072037</c:v>
                </c:pt>
                <c:pt idx="4">
                  <c:v>0.37717049332188207</c:v>
                </c:pt>
                <c:pt idx="5">
                  <c:v>0.30942462473908716</c:v>
                </c:pt>
                <c:pt idx="6">
                  <c:v>0.25900743626396389</c:v>
                </c:pt>
                <c:pt idx="7">
                  <c:v>0.22568298458851355</c:v>
                </c:pt>
                <c:pt idx="8">
                  <c:v>0.20743691870077544</c:v>
                </c:pt>
                <c:pt idx="9">
                  <c:v>0.20320575359027529</c:v>
                </c:pt>
              </c:numCache>
            </c:numRef>
          </c:val>
          <c:smooth val="0"/>
          <c:extLst>
            <c:ext xmlns:c16="http://schemas.microsoft.com/office/drawing/2014/chart" uri="{C3380CC4-5D6E-409C-BE32-E72D297353CC}">
              <c16:uniqueId val="{00000000-0724-4338-BD0B-176DDF417FBD}"/>
            </c:ext>
          </c:extLst>
        </c:ser>
        <c:dLbls>
          <c:showLegendKey val="0"/>
          <c:showVal val="0"/>
          <c:showCatName val="0"/>
          <c:showSerName val="0"/>
          <c:showPercent val="0"/>
          <c:showBubbleSize val="0"/>
        </c:dLbls>
        <c:smooth val="0"/>
        <c:axId val="644126584"/>
        <c:axId val="644128024"/>
      </c:lineChart>
      <c:catAx>
        <c:axId val="6441265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4128024"/>
        <c:crosses val="autoZero"/>
        <c:auto val="1"/>
        <c:lblAlgn val="ctr"/>
        <c:lblOffset val="100"/>
        <c:noMultiLvlLbl val="0"/>
      </c:catAx>
      <c:valAx>
        <c:axId val="644128024"/>
        <c:scaling>
          <c:orientation val="minMax"/>
        </c:scaling>
        <c:delete val="1"/>
        <c:axPos val="l"/>
        <c:numFmt formatCode="0%" sourceLinked="1"/>
        <c:majorTickMark val="none"/>
        <c:minorTickMark val="none"/>
        <c:tickLblPos val="nextTo"/>
        <c:crossAx val="644126584"/>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EE0000"/>
            </a:solidFill>
            <a:ln>
              <a:noFill/>
            </a:ln>
            <a:effectLst/>
          </c:spPr>
          <c:invertIfNegative val="0"/>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83C-4663-9DA9-56C29DBC1D9A}"/>
                </c:ext>
              </c:extLst>
            </c:dLbl>
            <c:dLbl>
              <c:idx val="4"/>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83C-4663-9DA9-56C29DBC1D9A}"/>
                </c:ext>
              </c:extLst>
            </c:dLbl>
            <c:dLbl>
              <c:idx val="7"/>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983C-4663-9DA9-56C29DBC1D9A}"/>
                </c:ext>
              </c:extLst>
            </c:dLbl>
            <c:dLbl>
              <c:idx val="9"/>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983C-4663-9DA9-56C29DBC1D9A}"/>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'Exec Sum'!$B$7:$K$7</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'Exec Sum'!$B$10:$K$10</c:f>
              <c:numCache>
                <c:formatCode>#,##0</c:formatCode>
                <c:ptCount val="10"/>
                <c:pt idx="0">
                  <c:v>6000</c:v>
                </c:pt>
                <c:pt idx="1">
                  <c:v>11000</c:v>
                </c:pt>
                <c:pt idx="2">
                  <c:v>17400</c:v>
                </c:pt>
                <c:pt idx="3">
                  <c:v>25500</c:v>
                </c:pt>
                <c:pt idx="4">
                  <c:v>35400</c:v>
                </c:pt>
                <c:pt idx="5">
                  <c:v>46700</c:v>
                </c:pt>
                <c:pt idx="6">
                  <c:v>58500</c:v>
                </c:pt>
                <c:pt idx="7">
                  <c:v>68400</c:v>
                </c:pt>
                <c:pt idx="8">
                  <c:v>74300</c:v>
                </c:pt>
                <c:pt idx="9">
                  <c:v>74400</c:v>
                </c:pt>
              </c:numCache>
            </c:numRef>
          </c:val>
          <c:extLst>
            <c:ext xmlns:c16="http://schemas.microsoft.com/office/drawing/2014/chart" uri="{C3380CC4-5D6E-409C-BE32-E72D297353CC}">
              <c16:uniqueId val="{00000000-983C-4663-9DA9-56C29DBC1D9A}"/>
            </c:ext>
          </c:extLst>
        </c:ser>
        <c:dLbls>
          <c:showLegendKey val="0"/>
          <c:showVal val="0"/>
          <c:showCatName val="0"/>
          <c:showSerName val="0"/>
          <c:showPercent val="0"/>
          <c:showBubbleSize val="0"/>
        </c:dLbls>
        <c:gapWidth val="219"/>
        <c:overlap val="-27"/>
        <c:axId val="1055451920"/>
        <c:axId val="1055449760"/>
      </c:barChart>
      <c:catAx>
        <c:axId val="1055451920"/>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55449760"/>
        <c:crosses val="autoZero"/>
        <c:auto val="1"/>
        <c:lblAlgn val="ctr"/>
        <c:lblOffset val="100"/>
        <c:noMultiLvlLbl val="0"/>
      </c:catAx>
      <c:valAx>
        <c:axId val="1055449760"/>
        <c:scaling>
          <c:orientation val="minMax"/>
        </c:scaling>
        <c:delete val="1"/>
        <c:axPos val="l"/>
        <c:numFmt formatCode="#,##0" sourceLinked="1"/>
        <c:majorTickMark val="none"/>
        <c:minorTickMark val="none"/>
        <c:tickLblPos val="nextTo"/>
        <c:crossAx val="1055451920"/>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v>Total Installations</c:v>
          </c:tx>
          <c:spPr>
            <a:ln w="28575" cap="rnd">
              <a:solidFill>
                <a:schemeClr val="tx2"/>
              </a:solidFill>
              <a:round/>
            </a:ln>
            <a:effectLst/>
          </c:spPr>
          <c:marker>
            <c:symbol val="none"/>
          </c:marker>
          <c:cat>
            <c:strRef>
              <c:f>'Heat Pumps'!$D$6:$AC$6</c:f>
              <c:strCache>
                <c:ptCount val="26"/>
                <c:pt idx="0">
                  <c:v>2024/25</c:v>
                </c:pt>
                <c:pt idx="1">
                  <c:v>2025/26</c:v>
                </c:pt>
                <c:pt idx="2">
                  <c:v>2026/27</c:v>
                </c:pt>
                <c:pt idx="3">
                  <c:v>2027/28</c:v>
                </c:pt>
                <c:pt idx="4">
                  <c:v>2028/29</c:v>
                </c:pt>
                <c:pt idx="5">
                  <c:v>2029/30</c:v>
                </c:pt>
                <c:pt idx="6">
                  <c:v>2030/31</c:v>
                </c:pt>
                <c:pt idx="7">
                  <c:v>2031/32</c:v>
                </c:pt>
                <c:pt idx="8">
                  <c:v>2032/33</c:v>
                </c:pt>
                <c:pt idx="9">
                  <c:v>2033/34</c:v>
                </c:pt>
                <c:pt idx="10">
                  <c:v>2034/35</c:v>
                </c:pt>
                <c:pt idx="11">
                  <c:v>2035/36</c:v>
                </c:pt>
                <c:pt idx="12">
                  <c:v>2036/37</c:v>
                </c:pt>
                <c:pt idx="13">
                  <c:v>2037/38</c:v>
                </c:pt>
                <c:pt idx="14">
                  <c:v>2038/39</c:v>
                </c:pt>
                <c:pt idx="15">
                  <c:v>2039/40</c:v>
                </c:pt>
                <c:pt idx="16">
                  <c:v>2040/41</c:v>
                </c:pt>
                <c:pt idx="17">
                  <c:v>2041/42</c:v>
                </c:pt>
                <c:pt idx="18">
                  <c:v>2042/43</c:v>
                </c:pt>
                <c:pt idx="19">
                  <c:v>2043/44</c:v>
                </c:pt>
                <c:pt idx="20">
                  <c:v>2044/45</c:v>
                </c:pt>
                <c:pt idx="21">
                  <c:v>2045/46</c:v>
                </c:pt>
                <c:pt idx="22">
                  <c:v>2046/47</c:v>
                </c:pt>
                <c:pt idx="23">
                  <c:v>2047/48</c:v>
                </c:pt>
                <c:pt idx="24">
                  <c:v>2048/49</c:v>
                </c:pt>
                <c:pt idx="25">
                  <c:v>2049/50</c:v>
                </c:pt>
              </c:strCache>
            </c:strRef>
          </c:cat>
          <c:val>
            <c:numRef>
              <c:f>'Heat Pumps'!$D$19:$AC$19</c:f>
              <c:numCache>
                <c:formatCode>General</c:formatCode>
                <c:ptCount val="26"/>
                <c:pt idx="0">
                  <c:v>1.0013065335065492</c:v>
                </c:pt>
                <c:pt idx="1">
                  <c:v>1.4058285670812909</c:v>
                </c:pt>
                <c:pt idx="2">
                  <c:v>2.0501483095087218</c:v>
                </c:pt>
                <c:pt idx="3">
                  <c:v>2.9342976119278998</c:v>
                </c:pt>
                <c:pt idx="4">
                  <c:v>4.1397524384836792</c:v>
                </c:pt>
                <c:pt idx="5">
                  <c:v>5.7689163060434829</c:v>
                </c:pt>
                <c:pt idx="6">
                  <c:v>7.9447980369505382</c:v>
                </c:pt>
                <c:pt idx="7">
                  <c:v>10.805351355789941</c:v>
                </c:pt>
                <c:pt idx="8">
                  <c:v>14.488964290195874</c:v>
                </c:pt>
                <c:pt idx="9">
                  <c:v>19.108031885406231</c:v>
                </c:pt>
                <c:pt idx="10">
                  <c:v>24.710865655965179</c:v>
                </c:pt>
                <c:pt idx="11">
                  <c:v>31.239503173089055</c:v>
                </c:pt>
                <c:pt idx="12">
                  <c:v>38.500286490152433</c:v>
                </c:pt>
                <c:pt idx="13">
                  <c:v>46.168195489712026</c:v>
                </c:pt>
                <c:pt idx="14">
                  <c:v>53.836104489271605</c:v>
                </c:pt>
                <c:pt idx="15">
                  <c:v>61.096887806335012</c:v>
                </c:pt>
                <c:pt idx="16">
                  <c:v>67.625525323458874</c:v>
                </c:pt>
                <c:pt idx="17">
                  <c:v>73.228359094017819</c:v>
                </c:pt>
                <c:pt idx="18">
                  <c:v>77.847426689228186</c:v>
                </c:pt>
                <c:pt idx="19">
                  <c:v>81.531039623634101</c:v>
                </c:pt>
                <c:pt idx="20">
                  <c:v>84.391592942473522</c:v>
                </c:pt>
                <c:pt idx="21">
                  <c:v>86.567474673380559</c:v>
                </c:pt>
                <c:pt idx="22">
                  <c:v>88.196638540940398</c:v>
                </c:pt>
                <c:pt idx="23">
                  <c:v>89.402093367496136</c:v>
                </c:pt>
                <c:pt idx="24">
                  <c:v>90.286242669915325</c:v>
                </c:pt>
                <c:pt idx="25">
                  <c:v>90.930562412342766</c:v>
                </c:pt>
              </c:numCache>
            </c:numRef>
          </c:val>
          <c:smooth val="0"/>
          <c:extLst>
            <c:ext xmlns:c16="http://schemas.microsoft.com/office/drawing/2014/chart" uri="{C3380CC4-5D6E-409C-BE32-E72D297353CC}">
              <c16:uniqueId val="{00000000-C231-4BC9-9DCF-EF0E3A902CDC}"/>
            </c:ext>
          </c:extLst>
        </c:ser>
        <c:ser>
          <c:idx val="1"/>
          <c:order val="1"/>
          <c:tx>
            <c:v>Yearly Installations</c:v>
          </c:tx>
          <c:spPr>
            <a:ln w="28575" cap="rnd">
              <a:solidFill>
                <a:schemeClr val="accent5"/>
              </a:solidFill>
              <a:round/>
            </a:ln>
            <a:effectLst/>
          </c:spPr>
          <c:marker>
            <c:symbol val="none"/>
          </c:marker>
          <c:cat>
            <c:strRef>
              <c:f>'Heat Pumps'!$D$6:$AC$6</c:f>
              <c:strCache>
                <c:ptCount val="26"/>
                <c:pt idx="0">
                  <c:v>2024/25</c:v>
                </c:pt>
                <c:pt idx="1">
                  <c:v>2025/26</c:v>
                </c:pt>
                <c:pt idx="2">
                  <c:v>2026/27</c:v>
                </c:pt>
                <c:pt idx="3">
                  <c:v>2027/28</c:v>
                </c:pt>
                <c:pt idx="4">
                  <c:v>2028/29</c:v>
                </c:pt>
                <c:pt idx="5">
                  <c:v>2029/30</c:v>
                </c:pt>
                <c:pt idx="6">
                  <c:v>2030/31</c:v>
                </c:pt>
                <c:pt idx="7">
                  <c:v>2031/32</c:v>
                </c:pt>
                <c:pt idx="8">
                  <c:v>2032/33</c:v>
                </c:pt>
                <c:pt idx="9">
                  <c:v>2033/34</c:v>
                </c:pt>
                <c:pt idx="10">
                  <c:v>2034/35</c:v>
                </c:pt>
                <c:pt idx="11">
                  <c:v>2035/36</c:v>
                </c:pt>
                <c:pt idx="12">
                  <c:v>2036/37</c:v>
                </c:pt>
                <c:pt idx="13">
                  <c:v>2037/38</c:v>
                </c:pt>
                <c:pt idx="14">
                  <c:v>2038/39</c:v>
                </c:pt>
                <c:pt idx="15">
                  <c:v>2039/40</c:v>
                </c:pt>
                <c:pt idx="16">
                  <c:v>2040/41</c:v>
                </c:pt>
                <c:pt idx="17">
                  <c:v>2041/42</c:v>
                </c:pt>
                <c:pt idx="18">
                  <c:v>2042/43</c:v>
                </c:pt>
                <c:pt idx="19">
                  <c:v>2043/44</c:v>
                </c:pt>
                <c:pt idx="20">
                  <c:v>2044/45</c:v>
                </c:pt>
                <c:pt idx="21">
                  <c:v>2045/46</c:v>
                </c:pt>
                <c:pt idx="22">
                  <c:v>2046/47</c:v>
                </c:pt>
                <c:pt idx="23">
                  <c:v>2047/48</c:v>
                </c:pt>
                <c:pt idx="24">
                  <c:v>2048/49</c:v>
                </c:pt>
                <c:pt idx="25">
                  <c:v>2049/50</c:v>
                </c:pt>
              </c:strCache>
            </c:strRef>
          </c:cat>
          <c:val>
            <c:numRef>
              <c:f>'Heat Pumps'!$D$20:$AC$20</c:f>
              <c:numCache>
                <c:formatCode>General</c:formatCode>
                <c:ptCount val="26"/>
                <c:pt idx="0">
                  <c:v>2.0225732229188447</c:v>
                </c:pt>
                <c:pt idx="1">
                  <c:v>3.2215987121371557</c:v>
                </c:pt>
                <c:pt idx="2">
                  <c:v>4.4207465120958886</c:v>
                </c:pt>
                <c:pt idx="3">
                  <c:v>6.0272741327788983</c:v>
                </c:pt>
                <c:pt idx="4">
                  <c:v>8.1458193377990167</c:v>
                </c:pt>
                <c:pt idx="5">
                  <c:v>10.879408654535279</c:v>
                </c:pt>
                <c:pt idx="6">
                  <c:v>14.302766594197012</c:v>
                </c:pt>
                <c:pt idx="7">
                  <c:v>18.418064672029661</c:v>
                </c:pt>
                <c:pt idx="8">
                  <c:v>23.095337976051791</c:v>
                </c:pt>
                <c:pt idx="9">
                  <c:v>28.014168852794732</c:v>
                </c:pt>
                <c:pt idx="10">
                  <c:v>32.643187585619387</c:v>
                </c:pt>
                <c:pt idx="11">
                  <c:v>36.30391658531687</c:v>
                </c:pt>
                <c:pt idx="12">
                  <c:v>38.339544997797987</c:v>
                </c:pt>
                <c:pt idx="13">
                  <c:v>38.339544997797901</c:v>
                </c:pt>
                <c:pt idx="14">
                  <c:v>36.303916585316998</c:v>
                </c:pt>
                <c:pt idx="15">
                  <c:v>32.643187585619366</c:v>
                </c:pt>
                <c:pt idx="16">
                  <c:v>28.014168852794693</c:v>
                </c:pt>
                <c:pt idx="17">
                  <c:v>23.095337976051802</c:v>
                </c:pt>
                <c:pt idx="18">
                  <c:v>18.41806467202959</c:v>
                </c:pt>
                <c:pt idx="19">
                  <c:v>14.302766594197159</c:v>
                </c:pt>
                <c:pt idx="20">
                  <c:v>10.879408654535185</c:v>
                </c:pt>
                <c:pt idx="21">
                  <c:v>8.1458193377991357</c:v>
                </c:pt>
                <c:pt idx="22">
                  <c:v>6.0272741327787509</c:v>
                </c:pt>
                <c:pt idx="23">
                  <c:v>4.4207465120959366</c:v>
                </c:pt>
                <c:pt idx="24">
                  <c:v>3.2215987121371659</c:v>
                </c:pt>
              </c:numCache>
            </c:numRef>
          </c:val>
          <c:smooth val="0"/>
          <c:extLst>
            <c:ext xmlns:c16="http://schemas.microsoft.com/office/drawing/2014/chart" uri="{C3380CC4-5D6E-409C-BE32-E72D297353CC}">
              <c16:uniqueId val="{00000001-C231-4BC9-9DCF-EF0E3A902CDC}"/>
            </c:ext>
          </c:extLst>
        </c:ser>
        <c:dLbls>
          <c:showLegendKey val="0"/>
          <c:showVal val="0"/>
          <c:showCatName val="0"/>
          <c:showSerName val="0"/>
          <c:showPercent val="0"/>
          <c:showBubbleSize val="0"/>
        </c:dLbls>
        <c:smooth val="0"/>
        <c:axId val="620806416"/>
        <c:axId val="620804976"/>
      </c:lineChart>
      <c:catAx>
        <c:axId val="6208064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20804976"/>
        <c:crosses val="autoZero"/>
        <c:auto val="1"/>
        <c:lblAlgn val="ctr"/>
        <c:lblOffset val="100"/>
        <c:noMultiLvlLbl val="0"/>
      </c:catAx>
      <c:valAx>
        <c:axId val="620804976"/>
        <c:scaling>
          <c:orientation val="minMax"/>
        </c:scaling>
        <c:delete val="1"/>
        <c:axPos val="l"/>
        <c:numFmt formatCode="General" sourceLinked="1"/>
        <c:majorTickMark val="none"/>
        <c:minorTickMark val="none"/>
        <c:tickLblPos val="nextTo"/>
        <c:crossAx val="6208064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v>Base</c:v>
          </c:tx>
          <c:spPr>
            <a:ln w="28575" cap="rnd">
              <a:solidFill>
                <a:schemeClr val="accent1"/>
              </a:solidFill>
              <a:round/>
            </a:ln>
            <a:effectLst/>
          </c:spPr>
          <c:marker>
            <c:symbol val="none"/>
          </c:marker>
          <c:cat>
            <c:strRef>
              <c:f>'Heat Pumps'!$E$6:$N$6</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'Heat Pumps'!$E$9:$N$9</c:f>
              <c:numCache>
                <c:formatCode>0</c:formatCode>
                <c:ptCount val="10"/>
                <c:pt idx="0">
                  <c:v>8049.5569826312349</c:v>
                </c:pt>
                <c:pt idx="1">
                  <c:v>11894.244071263442</c:v>
                </c:pt>
                <c:pt idx="2">
                  <c:v>16987.271736489842</c:v>
                </c:pt>
                <c:pt idx="3">
                  <c:v>23431.781074136648</c:v>
                </c:pt>
                <c:pt idx="4">
                  <c:v>33007.651336295268</c:v>
                </c:pt>
                <c:pt idx="5">
                  <c:v>46391.451370877039</c:v>
                </c:pt>
                <c:pt idx="6">
                  <c:v>67520.940907298849</c:v>
                </c:pt>
                <c:pt idx="7">
                  <c:v>76974.010124411812</c:v>
                </c:pt>
                <c:pt idx="8">
                  <c:v>78380.562372197222</c:v>
                </c:pt>
                <c:pt idx="9">
                  <c:v>83720.986755206657</c:v>
                </c:pt>
              </c:numCache>
            </c:numRef>
          </c:val>
          <c:smooth val="0"/>
          <c:extLst>
            <c:ext xmlns:c16="http://schemas.microsoft.com/office/drawing/2014/chart" uri="{C3380CC4-5D6E-409C-BE32-E72D297353CC}">
              <c16:uniqueId val="{00000000-4309-44F3-8BDF-4C2B4B7D1BDB}"/>
            </c:ext>
          </c:extLst>
        </c:ser>
        <c:ser>
          <c:idx val="1"/>
          <c:order val="1"/>
          <c:tx>
            <c:v>Low Demand</c:v>
          </c:tx>
          <c:spPr>
            <a:ln w="28575" cap="rnd">
              <a:solidFill>
                <a:schemeClr val="accent6"/>
              </a:solidFill>
              <a:round/>
            </a:ln>
            <a:effectLst/>
          </c:spPr>
          <c:marker>
            <c:symbol val="none"/>
          </c:marker>
          <c:cat>
            <c:strRef>
              <c:f>'Heat Pumps'!$E$6:$N$6</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'Heat Pumps'!$E$15:$N$15</c:f>
              <c:numCache>
                <c:formatCode>0</c:formatCode>
                <c:ptCount val="10"/>
                <c:pt idx="0">
                  <c:v>7169</c:v>
                </c:pt>
                <c:pt idx="1">
                  <c:v>7618.1555576104729</c:v>
                </c:pt>
                <c:pt idx="2">
                  <c:v>9720.0078764661448</c:v>
                </c:pt>
                <c:pt idx="3">
                  <c:v>11907.544024331073</c:v>
                </c:pt>
                <c:pt idx="4">
                  <c:v>13881.580933897087</c:v>
                </c:pt>
                <c:pt idx="5">
                  <c:v>15277.317230326778</c:v>
                </c:pt>
                <c:pt idx="6">
                  <c:v>15783.745326430377</c:v>
                </c:pt>
                <c:pt idx="7">
                  <c:v>15277.317230326778</c:v>
                </c:pt>
                <c:pt idx="8">
                  <c:v>13881.580933897116</c:v>
                </c:pt>
                <c:pt idx="9">
                  <c:v>11907.544024331059</c:v>
                </c:pt>
              </c:numCache>
            </c:numRef>
          </c:val>
          <c:smooth val="0"/>
          <c:extLst>
            <c:ext xmlns:c16="http://schemas.microsoft.com/office/drawing/2014/chart" uri="{C3380CC4-5D6E-409C-BE32-E72D297353CC}">
              <c16:uniqueId val="{00000001-4309-44F3-8BDF-4C2B4B7D1BDB}"/>
            </c:ext>
          </c:extLst>
        </c:ser>
        <c:ser>
          <c:idx val="2"/>
          <c:order val="2"/>
          <c:tx>
            <c:v>High Demand</c:v>
          </c:tx>
          <c:spPr>
            <a:ln w="28575" cap="rnd">
              <a:solidFill>
                <a:schemeClr val="accent5"/>
              </a:solidFill>
              <a:round/>
            </a:ln>
            <a:effectLst/>
          </c:spPr>
          <c:marker>
            <c:symbol val="none"/>
          </c:marker>
          <c:cat>
            <c:strRef>
              <c:f>'Heat Pumps'!$E$6:$N$6</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'Heat Pumps'!$E$12:$N$12</c:f>
              <c:numCache>
                <c:formatCode>0</c:formatCode>
                <c:ptCount val="10"/>
                <c:pt idx="0">
                  <c:v>11760.974589443329</c:v>
                </c:pt>
                <c:pt idx="1">
                  <c:v>17502.665128902707</c:v>
                </c:pt>
                <c:pt idx="2">
                  <c:v>25743.070618698795</c:v>
                </c:pt>
                <c:pt idx="3">
                  <c:v>37215.947632519645</c:v>
                </c:pt>
                <c:pt idx="4">
                  <c:v>52482.511616688178</c:v>
                </c:pt>
                <c:pt idx="5">
                  <c:v>71477.571334425302</c:v>
                </c:pt>
                <c:pt idx="6">
                  <c:v>92863.667881694564</c:v>
                </c:pt>
                <c:pt idx="7">
                  <c:v>113526.82153416594</c:v>
                </c:pt>
                <c:pt idx="8">
                  <c:v>128902.29815224238</c:v>
                </c:pt>
                <c:pt idx="9">
                  <c:v>134636.5516931318</c:v>
                </c:pt>
              </c:numCache>
            </c:numRef>
          </c:val>
          <c:smooth val="0"/>
          <c:extLst>
            <c:ext xmlns:c16="http://schemas.microsoft.com/office/drawing/2014/chart" uri="{C3380CC4-5D6E-409C-BE32-E72D297353CC}">
              <c16:uniqueId val="{00000002-4309-44F3-8BDF-4C2B4B7D1BDB}"/>
            </c:ext>
          </c:extLst>
        </c:ser>
        <c:dLbls>
          <c:showLegendKey val="0"/>
          <c:showVal val="0"/>
          <c:showCatName val="0"/>
          <c:showSerName val="0"/>
          <c:showPercent val="0"/>
          <c:showBubbleSize val="0"/>
        </c:dLbls>
        <c:smooth val="0"/>
        <c:axId val="565586528"/>
        <c:axId val="565598048"/>
      </c:lineChart>
      <c:catAx>
        <c:axId val="5655865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crossAx val="565598048"/>
        <c:crosses val="autoZero"/>
        <c:auto val="1"/>
        <c:lblAlgn val="ctr"/>
        <c:lblOffset val="100"/>
        <c:noMultiLvlLbl val="0"/>
      </c:catAx>
      <c:valAx>
        <c:axId val="56559804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crossAx val="5655865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Helvetica Neue LT Std 65 Medium"/>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Chatbook!$B$2</c:f>
              <c:strCache>
                <c:ptCount val="1"/>
                <c:pt idx="0">
                  <c:v>High</c:v>
                </c:pt>
              </c:strCache>
            </c:strRef>
          </c:tx>
          <c:spPr>
            <a:ln w="28575" cap="rnd">
              <a:solidFill>
                <a:schemeClr val="accent5">
                  <a:lumMod val="60000"/>
                  <a:lumOff val="40000"/>
                </a:schemeClr>
              </a:solidFill>
              <a:round/>
            </a:ln>
            <a:effectLst/>
          </c:spPr>
          <c:marker>
            <c:symbol val="none"/>
          </c:marker>
          <c:dPt>
            <c:idx val="0"/>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3-5F6D-4771-A7B0-73FCF031CD2F}"/>
              </c:ext>
            </c:extLst>
          </c:dPt>
          <c:dPt>
            <c:idx val="25"/>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C-5F6D-4771-A7B0-73FCF031CD2F}"/>
              </c:ext>
            </c:extLst>
          </c:dPt>
          <c:dPt>
            <c:idx val="26"/>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B-5F6D-4771-A7B0-73FCF031CD2F}"/>
              </c:ext>
            </c:extLst>
          </c:dPt>
          <c:dPt>
            <c:idx val="27"/>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A-5F6D-4771-A7B0-73FCF031CD2F}"/>
              </c:ext>
            </c:extLst>
          </c:dPt>
          <c:dPt>
            <c:idx val="28"/>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9-5F6D-4771-A7B0-73FCF031CD2F}"/>
              </c:ext>
            </c:extLst>
          </c:dPt>
          <c:dPt>
            <c:idx val="29"/>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8-5F6D-4771-A7B0-73FCF031CD2F}"/>
              </c:ext>
            </c:extLst>
          </c:dPt>
          <c:dPt>
            <c:idx val="30"/>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7-5F6D-4771-A7B0-73FCF031CD2F}"/>
              </c:ext>
            </c:extLst>
          </c:dPt>
          <c:dPt>
            <c:idx val="31"/>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6-5F6D-4771-A7B0-73FCF031CD2F}"/>
              </c:ext>
            </c:extLst>
          </c:dPt>
          <c:dPt>
            <c:idx val="32"/>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4-5F6D-4771-A7B0-73FCF031CD2F}"/>
              </c:ext>
            </c:extLst>
          </c:dPt>
          <c:dPt>
            <c:idx val="33"/>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5-5F6D-4771-A7B0-73FCF031CD2F}"/>
              </c:ext>
            </c:extLst>
          </c:dPt>
          <c:dPt>
            <c:idx val="34"/>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2-5F6D-4771-A7B0-73FCF031CD2F}"/>
              </c:ext>
            </c:extLst>
          </c:dPt>
          <c:dPt>
            <c:idx val="35"/>
            <c:marker>
              <c:symbol val="none"/>
            </c:marker>
            <c:bubble3D val="0"/>
            <c:spPr>
              <a:ln w="28575" cap="rnd">
                <a:solidFill>
                  <a:schemeClr val="accent5">
                    <a:lumMod val="60000"/>
                    <a:lumOff val="40000"/>
                  </a:schemeClr>
                </a:solidFill>
                <a:prstDash val="sysDot"/>
                <a:round/>
              </a:ln>
              <a:effectLst/>
            </c:spPr>
            <c:extLst>
              <c:ext xmlns:c16="http://schemas.microsoft.com/office/drawing/2014/chart" uri="{C3380CC4-5D6E-409C-BE32-E72D297353CC}">
                <c16:uniqueId val="{00000011-5F6D-4771-A7B0-73FCF031CD2F}"/>
              </c:ext>
            </c:extLst>
          </c:dPt>
          <c:cat>
            <c:numRef>
              <c:f>Chatbook!$A$3:$A$38</c:f>
              <c:numCache>
                <c:formatCode>General</c:formatCode>
                <c:ptCount val="36"/>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pt idx="14">
                  <c:v>2015</c:v>
                </c:pt>
                <c:pt idx="15">
                  <c:v>2016</c:v>
                </c:pt>
                <c:pt idx="16">
                  <c:v>2017</c:v>
                </c:pt>
                <c:pt idx="17">
                  <c:v>2018</c:v>
                </c:pt>
                <c:pt idx="18">
                  <c:v>2019</c:v>
                </c:pt>
                <c:pt idx="19">
                  <c:v>2020</c:v>
                </c:pt>
                <c:pt idx="20">
                  <c:v>2021</c:v>
                </c:pt>
                <c:pt idx="21">
                  <c:v>2022</c:v>
                </c:pt>
                <c:pt idx="22">
                  <c:v>2023</c:v>
                </c:pt>
                <c:pt idx="23">
                  <c:v>2024</c:v>
                </c:pt>
                <c:pt idx="24">
                  <c:v>2025</c:v>
                </c:pt>
                <c:pt idx="25">
                  <c:v>2026</c:v>
                </c:pt>
                <c:pt idx="26">
                  <c:v>2027</c:v>
                </c:pt>
                <c:pt idx="27">
                  <c:v>2028</c:v>
                </c:pt>
                <c:pt idx="28">
                  <c:v>2029</c:v>
                </c:pt>
                <c:pt idx="29">
                  <c:v>2030</c:v>
                </c:pt>
                <c:pt idx="30">
                  <c:v>2031</c:v>
                </c:pt>
                <c:pt idx="31">
                  <c:v>2032</c:v>
                </c:pt>
                <c:pt idx="32">
                  <c:v>2033</c:v>
                </c:pt>
                <c:pt idx="33">
                  <c:v>2034</c:v>
                </c:pt>
                <c:pt idx="34">
                  <c:v>2035</c:v>
                </c:pt>
                <c:pt idx="35">
                  <c:v>2036</c:v>
                </c:pt>
              </c:numCache>
            </c:numRef>
          </c:cat>
          <c:val>
            <c:numRef>
              <c:f>Chatbook!$B$3:$B$38</c:f>
              <c:numCache>
                <c:formatCode>#,##0</c:formatCode>
                <c:ptCount val="36"/>
                <c:pt idx="0">
                  <c:v>64600</c:v>
                </c:pt>
                <c:pt idx="1">
                  <c:v>66300</c:v>
                </c:pt>
                <c:pt idx="2">
                  <c:v>67300</c:v>
                </c:pt>
                <c:pt idx="3">
                  <c:v>73300</c:v>
                </c:pt>
                <c:pt idx="4">
                  <c:v>67200</c:v>
                </c:pt>
                <c:pt idx="5">
                  <c:v>77300</c:v>
                </c:pt>
                <c:pt idx="6">
                  <c:v>73300</c:v>
                </c:pt>
                <c:pt idx="7">
                  <c:v>71900</c:v>
                </c:pt>
                <c:pt idx="8">
                  <c:v>73500</c:v>
                </c:pt>
                <c:pt idx="9">
                  <c:v>75300</c:v>
                </c:pt>
                <c:pt idx="10">
                  <c:v>77900</c:v>
                </c:pt>
                <c:pt idx="11">
                  <c:v>77500</c:v>
                </c:pt>
                <c:pt idx="12">
                  <c:v>80100</c:v>
                </c:pt>
                <c:pt idx="13">
                  <c:v>75600</c:v>
                </c:pt>
                <c:pt idx="14">
                  <c:v>78400</c:v>
                </c:pt>
                <c:pt idx="15">
                  <c:v>79300</c:v>
                </c:pt>
                <c:pt idx="16">
                  <c:v>86700</c:v>
                </c:pt>
                <c:pt idx="17">
                  <c:v>86500</c:v>
                </c:pt>
                <c:pt idx="18">
                  <c:v>89900</c:v>
                </c:pt>
                <c:pt idx="19">
                  <c:v>93400</c:v>
                </c:pt>
                <c:pt idx="20">
                  <c:v>85100</c:v>
                </c:pt>
                <c:pt idx="21">
                  <c:v>69000</c:v>
                </c:pt>
                <c:pt idx="22">
                  <c:v>74200</c:v>
                </c:pt>
                <c:pt idx="23">
                  <c:v>80400</c:v>
                </c:pt>
                <c:pt idx="24">
                  <c:v>81620.017145916921</c:v>
                </c:pt>
                <c:pt idx="25">
                  <c:v>82541.922995879257</c:v>
                </c:pt>
                <c:pt idx="26">
                  <c:v>83532.732880195239</c:v>
                </c:pt>
                <c:pt idx="27">
                  <c:v>84583.474848744561</c:v>
                </c:pt>
                <c:pt idx="28">
                  <c:v>85789.466216398243</c:v>
                </c:pt>
                <c:pt idx="29">
                  <c:v>87050.315375321574</c:v>
                </c:pt>
                <c:pt idx="30">
                  <c:v>88310.193347981025</c:v>
                </c:pt>
                <c:pt idx="31">
                  <c:v>89596.200479477018</c:v>
                </c:pt>
                <c:pt idx="32">
                  <c:v>90904.434704219428</c:v>
                </c:pt>
                <c:pt idx="33">
                  <c:v>92240.167759853517</c:v>
                </c:pt>
                <c:pt idx="34">
                  <c:v>93595.6225606425</c:v>
                </c:pt>
                <c:pt idx="35">
                  <c:v>94985.766255559894</c:v>
                </c:pt>
              </c:numCache>
            </c:numRef>
          </c:val>
          <c:smooth val="0"/>
          <c:extLst>
            <c:ext xmlns:c16="http://schemas.microsoft.com/office/drawing/2014/chart" uri="{C3380CC4-5D6E-409C-BE32-E72D297353CC}">
              <c16:uniqueId val="{00000000-5F6D-4771-A7B0-73FCF031CD2F}"/>
            </c:ext>
          </c:extLst>
        </c:ser>
        <c:ser>
          <c:idx val="1"/>
          <c:order val="1"/>
          <c:tx>
            <c:strRef>
              <c:f>Chatbook!$C$2</c:f>
              <c:strCache>
                <c:ptCount val="1"/>
                <c:pt idx="0">
                  <c:v>Historic Trend</c:v>
                </c:pt>
              </c:strCache>
            </c:strRef>
          </c:tx>
          <c:spPr>
            <a:ln w="28575" cap="rnd">
              <a:solidFill>
                <a:srgbClr val="FFC000"/>
              </a:solidFill>
              <a:round/>
            </a:ln>
            <a:effectLst/>
          </c:spPr>
          <c:marker>
            <c:symbol val="none"/>
          </c:marker>
          <c:cat>
            <c:numRef>
              <c:f>Chatbook!$A$3:$A$38</c:f>
              <c:numCache>
                <c:formatCode>General</c:formatCode>
                <c:ptCount val="36"/>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pt idx="14">
                  <c:v>2015</c:v>
                </c:pt>
                <c:pt idx="15">
                  <c:v>2016</c:v>
                </c:pt>
                <c:pt idx="16">
                  <c:v>2017</c:v>
                </c:pt>
                <c:pt idx="17">
                  <c:v>2018</c:v>
                </c:pt>
                <c:pt idx="18">
                  <c:v>2019</c:v>
                </c:pt>
                <c:pt idx="19">
                  <c:v>2020</c:v>
                </c:pt>
                <c:pt idx="20">
                  <c:v>2021</c:v>
                </c:pt>
                <c:pt idx="21">
                  <c:v>2022</c:v>
                </c:pt>
                <c:pt idx="22">
                  <c:v>2023</c:v>
                </c:pt>
                <c:pt idx="23">
                  <c:v>2024</c:v>
                </c:pt>
                <c:pt idx="24">
                  <c:v>2025</c:v>
                </c:pt>
                <c:pt idx="25">
                  <c:v>2026</c:v>
                </c:pt>
                <c:pt idx="26">
                  <c:v>2027</c:v>
                </c:pt>
                <c:pt idx="27">
                  <c:v>2028</c:v>
                </c:pt>
                <c:pt idx="28">
                  <c:v>2029</c:v>
                </c:pt>
                <c:pt idx="29">
                  <c:v>2030</c:v>
                </c:pt>
                <c:pt idx="30">
                  <c:v>2031</c:v>
                </c:pt>
                <c:pt idx="31">
                  <c:v>2032</c:v>
                </c:pt>
                <c:pt idx="32">
                  <c:v>2033</c:v>
                </c:pt>
                <c:pt idx="33">
                  <c:v>2034</c:v>
                </c:pt>
                <c:pt idx="34">
                  <c:v>2035</c:v>
                </c:pt>
                <c:pt idx="35">
                  <c:v>2036</c:v>
                </c:pt>
              </c:numCache>
            </c:numRef>
          </c:cat>
          <c:val>
            <c:numRef>
              <c:f>Chatbook!$C$3:$C$38</c:f>
              <c:numCache>
                <c:formatCode>#,##0</c:formatCode>
                <c:ptCount val="36"/>
                <c:pt idx="0">
                  <c:v>64600</c:v>
                </c:pt>
                <c:pt idx="1">
                  <c:v>66300</c:v>
                </c:pt>
                <c:pt idx="2">
                  <c:v>67300</c:v>
                </c:pt>
                <c:pt idx="3">
                  <c:v>73300</c:v>
                </c:pt>
                <c:pt idx="4">
                  <c:v>67200</c:v>
                </c:pt>
                <c:pt idx="5">
                  <c:v>77300</c:v>
                </c:pt>
                <c:pt idx="6">
                  <c:v>73300</c:v>
                </c:pt>
                <c:pt idx="7">
                  <c:v>71900</c:v>
                </c:pt>
                <c:pt idx="8">
                  <c:v>73500</c:v>
                </c:pt>
                <c:pt idx="9">
                  <c:v>75300</c:v>
                </c:pt>
                <c:pt idx="10">
                  <c:v>77900</c:v>
                </c:pt>
                <c:pt idx="11">
                  <c:v>77500</c:v>
                </c:pt>
                <c:pt idx="12">
                  <c:v>80100</c:v>
                </c:pt>
                <c:pt idx="13">
                  <c:v>75600</c:v>
                </c:pt>
                <c:pt idx="14">
                  <c:v>78400</c:v>
                </c:pt>
                <c:pt idx="15">
                  <c:v>79300</c:v>
                </c:pt>
                <c:pt idx="16">
                  <c:v>86700</c:v>
                </c:pt>
                <c:pt idx="17">
                  <c:v>86500</c:v>
                </c:pt>
                <c:pt idx="18">
                  <c:v>89900</c:v>
                </c:pt>
                <c:pt idx="19">
                  <c:v>93400</c:v>
                </c:pt>
                <c:pt idx="20">
                  <c:v>85100</c:v>
                </c:pt>
                <c:pt idx="21">
                  <c:v>69000</c:v>
                </c:pt>
                <c:pt idx="22">
                  <c:v>74200</c:v>
                </c:pt>
                <c:pt idx="23">
                  <c:v>80400</c:v>
                </c:pt>
                <c:pt idx="24">
                  <c:v>81365.220335948412</c:v>
                </c:pt>
                <c:pt idx="25">
                  <c:v>82155.075443797934</c:v>
                </c:pt>
                <c:pt idx="26">
                  <c:v>82992.63086543027</c:v>
                </c:pt>
                <c:pt idx="27">
                  <c:v>83871.873157476672</c:v>
                </c:pt>
                <c:pt idx="28">
                  <c:v>84847.342898950083</c:v>
                </c:pt>
                <c:pt idx="29">
                  <c:v>85856.94750217539</c:v>
                </c:pt>
                <c:pt idx="30">
                  <c:v>86865.143246219581</c:v>
                </c:pt>
                <c:pt idx="31">
                  <c:v>87891.429549552588</c:v>
                </c:pt>
                <c:pt idx="32">
                  <c:v>88931.650363530673</c:v>
                </c:pt>
                <c:pt idx="33">
                  <c:v>89991.096578447236</c:v>
                </c:pt>
                <c:pt idx="34">
                  <c:v>91061.98985192184</c:v>
                </c:pt>
                <c:pt idx="35">
                  <c:v>92157.555923218417</c:v>
                </c:pt>
              </c:numCache>
            </c:numRef>
          </c:val>
          <c:smooth val="0"/>
          <c:extLst>
            <c:ext xmlns:c16="http://schemas.microsoft.com/office/drawing/2014/chart" uri="{C3380CC4-5D6E-409C-BE32-E72D297353CC}">
              <c16:uniqueId val="{00000001-5F6D-4771-A7B0-73FCF031CD2F}"/>
            </c:ext>
          </c:extLst>
        </c:ser>
        <c:ser>
          <c:idx val="2"/>
          <c:order val="2"/>
          <c:tx>
            <c:strRef>
              <c:f>Chatbook!$D$2</c:f>
              <c:strCache>
                <c:ptCount val="1"/>
                <c:pt idx="0">
                  <c:v>Low</c:v>
                </c:pt>
              </c:strCache>
            </c:strRef>
          </c:tx>
          <c:spPr>
            <a:ln w="28575" cap="rnd">
              <a:solidFill>
                <a:schemeClr val="tx2"/>
              </a:solidFill>
              <a:round/>
            </a:ln>
            <a:effectLst/>
          </c:spPr>
          <c:marker>
            <c:symbol val="none"/>
          </c:marker>
          <c:dPt>
            <c:idx val="25"/>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10-5F6D-4771-A7B0-73FCF031CD2F}"/>
              </c:ext>
            </c:extLst>
          </c:dPt>
          <c:dPt>
            <c:idx val="26"/>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F-5F6D-4771-A7B0-73FCF031CD2F}"/>
              </c:ext>
            </c:extLst>
          </c:dPt>
          <c:dPt>
            <c:idx val="27"/>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D-5F6D-4771-A7B0-73FCF031CD2F}"/>
              </c:ext>
            </c:extLst>
          </c:dPt>
          <c:dPt>
            <c:idx val="28"/>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C-5F6D-4771-A7B0-73FCF031CD2F}"/>
              </c:ext>
            </c:extLst>
          </c:dPt>
          <c:dPt>
            <c:idx val="29"/>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B-5F6D-4771-A7B0-73FCF031CD2F}"/>
              </c:ext>
            </c:extLst>
          </c:dPt>
          <c:dPt>
            <c:idx val="30"/>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A-5F6D-4771-A7B0-73FCF031CD2F}"/>
              </c:ext>
            </c:extLst>
          </c:dPt>
          <c:dPt>
            <c:idx val="31"/>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9-5F6D-4771-A7B0-73FCF031CD2F}"/>
              </c:ext>
            </c:extLst>
          </c:dPt>
          <c:dPt>
            <c:idx val="32"/>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8-5F6D-4771-A7B0-73FCF031CD2F}"/>
              </c:ext>
            </c:extLst>
          </c:dPt>
          <c:dPt>
            <c:idx val="33"/>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7-5F6D-4771-A7B0-73FCF031CD2F}"/>
              </c:ext>
            </c:extLst>
          </c:dPt>
          <c:dPt>
            <c:idx val="34"/>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4-5F6D-4771-A7B0-73FCF031CD2F}"/>
              </c:ext>
            </c:extLst>
          </c:dPt>
          <c:dPt>
            <c:idx val="35"/>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3-5F6D-4771-A7B0-73FCF031CD2F}"/>
              </c:ext>
            </c:extLst>
          </c:dPt>
          <c:cat>
            <c:numRef>
              <c:f>Chatbook!$A$3:$A$38</c:f>
              <c:numCache>
                <c:formatCode>General</c:formatCode>
                <c:ptCount val="36"/>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pt idx="14">
                  <c:v>2015</c:v>
                </c:pt>
                <c:pt idx="15">
                  <c:v>2016</c:v>
                </c:pt>
                <c:pt idx="16">
                  <c:v>2017</c:v>
                </c:pt>
                <c:pt idx="17">
                  <c:v>2018</c:v>
                </c:pt>
                <c:pt idx="18">
                  <c:v>2019</c:v>
                </c:pt>
                <c:pt idx="19">
                  <c:v>2020</c:v>
                </c:pt>
                <c:pt idx="20">
                  <c:v>2021</c:v>
                </c:pt>
                <c:pt idx="21">
                  <c:v>2022</c:v>
                </c:pt>
                <c:pt idx="22">
                  <c:v>2023</c:v>
                </c:pt>
                <c:pt idx="23">
                  <c:v>2024</c:v>
                </c:pt>
                <c:pt idx="24">
                  <c:v>2025</c:v>
                </c:pt>
                <c:pt idx="25">
                  <c:v>2026</c:v>
                </c:pt>
                <c:pt idx="26">
                  <c:v>2027</c:v>
                </c:pt>
                <c:pt idx="27">
                  <c:v>2028</c:v>
                </c:pt>
                <c:pt idx="28">
                  <c:v>2029</c:v>
                </c:pt>
                <c:pt idx="29">
                  <c:v>2030</c:v>
                </c:pt>
                <c:pt idx="30">
                  <c:v>2031</c:v>
                </c:pt>
                <c:pt idx="31">
                  <c:v>2032</c:v>
                </c:pt>
                <c:pt idx="32">
                  <c:v>2033</c:v>
                </c:pt>
                <c:pt idx="33">
                  <c:v>2034</c:v>
                </c:pt>
                <c:pt idx="34">
                  <c:v>2035</c:v>
                </c:pt>
                <c:pt idx="35">
                  <c:v>2036</c:v>
                </c:pt>
              </c:numCache>
            </c:numRef>
          </c:cat>
          <c:val>
            <c:numRef>
              <c:f>Chatbook!$D$3:$D$38</c:f>
              <c:numCache>
                <c:formatCode>#,##0</c:formatCode>
                <c:ptCount val="36"/>
                <c:pt idx="0">
                  <c:v>64600</c:v>
                </c:pt>
                <c:pt idx="1">
                  <c:v>66300</c:v>
                </c:pt>
                <c:pt idx="2">
                  <c:v>67300</c:v>
                </c:pt>
                <c:pt idx="3">
                  <c:v>73300</c:v>
                </c:pt>
                <c:pt idx="4">
                  <c:v>67200</c:v>
                </c:pt>
                <c:pt idx="5">
                  <c:v>77300</c:v>
                </c:pt>
                <c:pt idx="6">
                  <c:v>73300</c:v>
                </c:pt>
                <c:pt idx="7">
                  <c:v>71900</c:v>
                </c:pt>
                <c:pt idx="8">
                  <c:v>73500</c:v>
                </c:pt>
                <c:pt idx="9">
                  <c:v>75300</c:v>
                </c:pt>
                <c:pt idx="10">
                  <c:v>77900</c:v>
                </c:pt>
                <c:pt idx="11">
                  <c:v>77500</c:v>
                </c:pt>
                <c:pt idx="12">
                  <c:v>80100</c:v>
                </c:pt>
                <c:pt idx="13">
                  <c:v>75600</c:v>
                </c:pt>
                <c:pt idx="14">
                  <c:v>78400</c:v>
                </c:pt>
                <c:pt idx="15">
                  <c:v>79300</c:v>
                </c:pt>
                <c:pt idx="16">
                  <c:v>86700</c:v>
                </c:pt>
                <c:pt idx="17">
                  <c:v>86500</c:v>
                </c:pt>
                <c:pt idx="18">
                  <c:v>89900</c:v>
                </c:pt>
                <c:pt idx="19">
                  <c:v>93400</c:v>
                </c:pt>
                <c:pt idx="20">
                  <c:v>85100</c:v>
                </c:pt>
                <c:pt idx="21">
                  <c:v>69000</c:v>
                </c:pt>
                <c:pt idx="22">
                  <c:v>74200</c:v>
                </c:pt>
                <c:pt idx="23">
                  <c:v>80400</c:v>
                </c:pt>
                <c:pt idx="24">
                  <c:v>81110.600730065649</c:v>
                </c:pt>
                <c:pt idx="25">
                  <c:v>81769.305103963896</c:v>
                </c:pt>
                <c:pt idx="26">
                  <c:v>82455.117507847579</c:v>
                </c:pt>
                <c:pt idx="27">
                  <c:v>83165.139972745281</c:v>
                </c:pt>
                <c:pt idx="28">
                  <c:v>83914.023397838813</c:v>
                </c:pt>
                <c:pt idx="29">
                  <c:v>84677.898875143204</c:v>
                </c:pt>
                <c:pt idx="30">
                  <c:v>85441.218606923387</c:v>
                </c:pt>
                <c:pt idx="31">
                  <c:v>86216.079964788092</c:v>
                </c:pt>
                <c:pt idx="32">
                  <c:v>86998.151375426954</c:v>
                </c:pt>
                <c:pt idx="33">
                  <c:v>87792.809511725412</c:v>
                </c:pt>
                <c:pt idx="34">
                  <c:v>88592.345942189888</c:v>
                </c:pt>
                <c:pt idx="35">
                  <c:v>89408.395662686933</c:v>
                </c:pt>
              </c:numCache>
            </c:numRef>
          </c:val>
          <c:smooth val="0"/>
          <c:extLst>
            <c:ext xmlns:c16="http://schemas.microsoft.com/office/drawing/2014/chart" uri="{C3380CC4-5D6E-409C-BE32-E72D297353CC}">
              <c16:uniqueId val="{00000002-5F6D-4771-A7B0-73FCF031CD2F}"/>
            </c:ext>
          </c:extLst>
        </c:ser>
        <c:dLbls>
          <c:showLegendKey val="0"/>
          <c:showVal val="0"/>
          <c:showCatName val="0"/>
          <c:showSerName val="0"/>
          <c:showPercent val="0"/>
          <c:showBubbleSize val="0"/>
        </c:dLbls>
        <c:smooth val="0"/>
        <c:axId val="1016735952"/>
        <c:axId val="1016736672"/>
      </c:lineChart>
      <c:catAx>
        <c:axId val="10167359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crossAx val="1016736672"/>
        <c:crosses val="autoZero"/>
        <c:auto val="1"/>
        <c:lblAlgn val="ctr"/>
        <c:lblOffset val="100"/>
        <c:noMultiLvlLbl val="0"/>
      </c:catAx>
      <c:valAx>
        <c:axId val="1016736672"/>
        <c:scaling>
          <c:orientation val="minMax"/>
          <c:min val="60000"/>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crossAx val="1016735952"/>
        <c:crosses val="autoZero"/>
        <c:crossBetween val="between"/>
        <c:majorUnit val="10000"/>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800">
          <a:latin typeface="Helvetica Neue LT Std 65 Medium"/>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Chatbook!$G$2</c:f>
              <c:strCache>
                <c:ptCount val="1"/>
                <c:pt idx="0">
                  <c:v>High</c:v>
                </c:pt>
              </c:strCache>
            </c:strRef>
          </c:tx>
          <c:spPr>
            <a:ln w="28575" cap="rnd">
              <a:solidFill>
                <a:srgbClr val="EE0000"/>
              </a:solidFill>
              <a:round/>
            </a:ln>
            <a:effectLst/>
          </c:spPr>
          <c:marker>
            <c:symbol val="none"/>
          </c:marker>
          <c:dPt>
            <c:idx val="20"/>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9-9D13-437F-875C-62451C0ABCEF}"/>
              </c:ext>
            </c:extLst>
          </c:dPt>
          <c:dPt>
            <c:idx val="21"/>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8-9D13-437F-875C-62451C0ABCEF}"/>
              </c:ext>
            </c:extLst>
          </c:dPt>
          <c:dPt>
            <c:idx val="22"/>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7-9D13-437F-875C-62451C0ABCEF}"/>
              </c:ext>
            </c:extLst>
          </c:dPt>
          <c:dPt>
            <c:idx val="23"/>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6-9D13-437F-875C-62451C0ABCEF}"/>
              </c:ext>
            </c:extLst>
          </c:dPt>
          <c:dPt>
            <c:idx val="24"/>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5-9D13-437F-875C-62451C0ABCEF}"/>
              </c:ext>
            </c:extLst>
          </c:dPt>
          <c:dPt>
            <c:idx val="25"/>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4-9D13-437F-875C-62451C0ABCEF}"/>
              </c:ext>
            </c:extLst>
          </c:dPt>
          <c:dPt>
            <c:idx val="26"/>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3-9D13-437F-875C-62451C0ABCEF}"/>
              </c:ext>
            </c:extLst>
          </c:dPt>
          <c:dPt>
            <c:idx val="27"/>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2-9D13-437F-875C-62451C0ABCEF}"/>
              </c:ext>
            </c:extLst>
          </c:dPt>
          <c:dPt>
            <c:idx val="28"/>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1-9D13-437F-875C-62451C0ABCEF}"/>
              </c:ext>
            </c:extLst>
          </c:dPt>
          <c:dPt>
            <c:idx val="29"/>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10-9D13-437F-875C-62451C0ABCEF}"/>
              </c:ext>
            </c:extLst>
          </c:dPt>
          <c:dPt>
            <c:idx val="30"/>
            <c:marker>
              <c:symbol val="none"/>
            </c:marker>
            <c:bubble3D val="0"/>
            <c:spPr>
              <a:ln w="28575" cap="rnd">
                <a:solidFill>
                  <a:srgbClr val="EE0000"/>
                </a:solidFill>
                <a:prstDash val="sysDot"/>
                <a:round/>
              </a:ln>
              <a:effectLst/>
            </c:spPr>
            <c:extLst>
              <c:ext xmlns:c16="http://schemas.microsoft.com/office/drawing/2014/chart" uri="{C3380CC4-5D6E-409C-BE32-E72D297353CC}">
                <c16:uniqueId val="{0000000F-9D13-437F-875C-62451C0ABCEF}"/>
              </c:ext>
            </c:extLst>
          </c:dPt>
          <c:cat>
            <c:numRef>
              <c:f>Chatbook!$F$3:$F$33</c:f>
              <c:numCache>
                <c:formatCode>General</c:formatCode>
                <c:ptCount val="31"/>
                <c:pt idx="0">
                  <c:v>2006</c:v>
                </c:pt>
                <c:pt idx="1">
                  <c:v>2007</c:v>
                </c:pt>
                <c:pt idx="2">
                  <c:v>2008</c:v>
                </c:pt>
                <c:pt idx="3">
                  <c:v>2009</c:v>
                </c:pt>
                <c:pt idx="4">
                  <c:v>2010</c:v>
                </c:pt>
                <c:pt idx="5">
                  <c:v>2011</c:v>
                </c:pt>
                <c:pt idx="6">
                  <c:v>2012</c:v>
                </c:pt>
                <c:pt idx="7">
                  <c:v>2013</c:v>
                </c:pt>
                <c:pt idx="8">
                  <c:v>2014</c:v>
                </c:pt>
                <c:pt idx="9">
                  <c:v>2015</c:v>
                </c:pt>
                <c:pt idx="10">
                  <c:v>2016</c:v>
                </c:pt>
                <c:pt idx="11">
                  <c:v>2017</c:v>
                </c:pt>
                <c:pt idx="12">
                  <c:v>2018</c:v>
                </c:pt>
                <c:pt idx="13">
                  <c:v>2019</c:v>
                </c:pt>
                <c:pt idx="14">
                  <c:v>2020</c:v>
                </c:pt>
                <c:pt idx="15">
                  <c:v>2021</c:v>
                </c:pt>
                <c:pt idx="16">
                  <c:v>2022</c:v>
                </c:pt>
                <c:pt idx="17">
                  <c:v>2023</c:v>
                </c:pt>
                <c:pt idx="18">
                  <c:v>2024</c:v>
                </c:pt>
                <c:pt idx="19">
                  <c:v>2025</c:v>
                </c:pt>
                <c:pt idx="20">
                  <c:v>2026</c:v>
                </c:pt>
                <c:pt idx="21">
                  <c:v>2027</c:v>
                </c:pt>
                <c:pt idx="22">
                  <c:v>2028</c:v>
                </c:pt>
                <c:pt idx="23">
                  <c:v>2029</c:v>
                </c:pt>
                <c:pt idx="24">
                  <c:v>2030</c:v>
                </c:pt>
                <c:pt idx="25">
                  <c:v>2031</c:v>
                </c:pt>
                <c:pt idx="26">
                  <c:v>2032</c:v>
                </c:pt>
                <c:pt idx="27">
                  <c:v>2033</c:v>
                </c:pt>
                <c:pt idx="28">
                  <c:v>2034</c:v>
                </c:pt>
                <c:pt idx="29">
                  <c:v>2035</c:v>
                </c:pt>
                <c:pt idx="30">
                  <c:v>2036</c:v>
                </c:pt>
              </c:numCache>
            </c:numRef>
          </c:cat>
          <c:val>
            <c:numRef>
              <c:f>Chatbook!$G$3:$G$33</c:f>
              <c:numCache>
                <c:formatCode>#,##0</c:formatCode>
                <c:ptCount val="31"/>
                <c:pt idx="0">
                  <c:v>1021.7700814982269</c:v>
                </c:pt>
                <c:pt idx="1">
                  <c:v>968.89711479715436</c:v>
                </c:pt>
                <c:pt idx="2">
                  <c:v>950.39157645177886</c:v>
                </c:pt>
                <c:pt idx="3">
                  <c:v>971.54076313220799</c:v>
                </c:pt>
                <c:pt idx="4">
                  <c:v>995.33359814769062</c:v>
                </c:pt>
                <c:pt idx="5">
                  <c:v>1029.7010265033878</c:v>
                </c:pt>
                <c:pt idx="6">
                  <c:v>1024.4137298332805</c:v>
                </c:pt>
                <c:pt idx="7">
                  <c:v>1058.7811581889775</c:v>
                </c:pt>
                <c:pt idx="8">
                  <c:v>999.29907065027112</c:v>
                </c:pt>
                <c:pt idx="9">
                  <c:v>1036.3101473410218</c:v>
                </c:pt>
                <c:pt idx="10">
                  <c:v>1048.2065648487633</c:v>
                </c:pt>
                <c:pt idx="11">
                  <c:v>1146.0215532457473</c:v>
                </c:pt>
                <c:pt idx="12">
                  <c:v>1143.3779049106938</c:v>
                </c:pt>
                <c:pt idx="13">
                  <c:v>1188.3199266066053</c:v>
                </c:pt>
                <c:pt idx="14">
                  <c:v>1234.5837724700439</c:v>
                </c:pt>
                <c:pt idx="15">
                  <c:v>1124.8723665653183</c:v>
                </c:pt>
                <c:pt idx="16">
                  <c:v>912.05867559350133</c:v>
                </c:pt>
                <c:pt idx="17">
                  <c:v>980.79353230489562</c:v>
                </c:pt>
                <c:pt idx="18">
                  <c:v>1062.746630691558</c:v>
                </c:pt>
                <c:pt idx="19">
                  <c:v>1078.8731121742589</c:v>
                </c:pt>
                <c:pt idx="20">
                  <c:v>1091.0590865009044</c:v>
                </c:pt>
                <c:pt idx="21">
                  <c:v>1104.1558510060377</c:v>
                </c:pt>
                <c:pt idx="22">
                  <c:v>1118.0448122846697</c:v>
                </c:pt>
                <c:pt idx="23">
                  <c:v>1133.9858976406031</c:v>
                </c:pt>
                <c:pt idx="24">
                  <c:v>1150.6521065393101</c:v>
                </c:pt>
                <c:pt idx="25">
                  <c:v>1167.3054780632697</c:v>
                </c:pt>
                <c:pt idx="26">
                  <c:v>1184.3042311235019</c:v>
                </c:pt>
                <c:pt idx="27">
                  <c:v>1201.5967872740043</c:v>
                </c:pt>
                <c:pt idx="28">
                  <c:v>1219.2528296170201</c:v>
                </c:pt>
                <c:pt idx="29">
                  <c:v>1237.1695587537511</c:v>
                </c:pt>
                <c:pt idx="30">
                  <c:v>1255.5448140765195</c:v>
                </c:pt>
              </c:numCache>
            </c:numRef>
          </c:val>
          <c:smooth val="0"/>
          <c:extLst>
            <c:ext xmlns:c16="http://schemas.microsoft.com/office/drawing/2014/chart" uri="{C3380CC4-5D6E-409C-BE32-E72D297353CC}">
              <c16:uniqueId val="{00000000-9D13-437F-875C-62451C0ABCEF}"/>
            </c:ext>
          </c:extLst>
        </c:ser>
        <c:ser>
          <c:idx val="1"/>
          <c:order val="1"/>
          <c:tx>
            <c:strRef>
              <c:f>Chatbook!$H$2</c:f>
              <c:strCache>
                <c:ptCount val="1"/>
                <c:pt idx="0">
                  <c:v>Historic Trend</c:v>
                </c:pt>
              </c:strCache>
            </c:strRef>
          </c:tx>
          <c:spPr>
            <a:ln w="28575" cap="rnd">
              <a:solidFill>
                <a:srgbClr val="FFC000"/>
              </a:solidFill>
              <a:round/>
            </a:ln>
            <a:effectLst/>
          </c:spPr>
          <c:marker>
            <c:symbol val="none"/>
          </c:marker>
          <c:cat>
            <c:numRef>
              <c:f>Chatbook!$F$3:$F$33</c:f>
              <c:numCache>
                <c:formatCode>General</c:formatCode>
                <c:ptCount val="31"/>
                <c:pt idx="0">
                  <c:v>2006</c:v>
                </c:pt>
                <c:pt idx="1">
                  <c:v>2007</c:v>
                </c:pt>
                <c:pt idx="2">
                  <c:v>2008</c:v>
                </c:pt>
                <c:pt idx="3">
                  <c:v>2009</c:v>
                </c:pt>
                <c:pt idx="4">
                  <c:v>2010</c:v>
                </c:pt>
                <c:pt idx="5">
                  <c:v>2011</c:v>
                </c:pt>
                <c:pt idx="6">
                  <c:v>2012</c:v>
                </c:pt>
                <c:pt idx="7">
                  <c:v>2013</c:v>
                </c:pt>
                <c:pt idx="8">
                  <c:v>2014</c:v>
                </c:pt>
                <c:pt idx="9">
                  <c:v>2015</c:v>
                </c:pt>
                <c:pt idx="10">
                  <c:v>2016</c:v>
                </c:pt>
                <c:pt idx="11">
                  <c:v>2017</c:v>
                </c:pt>
                <c:pt idx="12">
                  <c:v>2018</c:v>
                </c:pt>
                <c:pt idx="13">
                  <c:v>2019</c:v>
                </c:pt>
                <c:pt idx="14">
                  <c:v>2020</c:v>
                </c:pt>
                <c:pt idx="15">
                  <c:v>2021</c:v>
                </c:pt>
                <c:pt idx="16">
                  <c:v>2022</c:v>
                </c:pt>
                <c:pt idx="17">
                  <c:v>2023</c:v>
                </c:pt>
                <c:pt idx="18">
                  <c:v>2024</c:v>
                </c:pt>
                <c:pt idx="19">
                  <c:v>2025</c:v>
                </c:pt>
                <c:pt idx="20">
                  <c:v>2026</c:v>
                </c:pt>
                <c:pt idx="21">
                  <c:v>2027</c:v>
                </c:pt>
                <c:pt idx="22">
                  <c:v>2028</c:v>
                </c:pt>
                <c:pt idx="23">
                  <c:v>2029</c:v>
                </c:pt>
                <c:pt idx="24">
                  <c:v>2030</c:v>
                </c:pt>
                <c:pt idx="25">
                  <c:v>2031</c:v>
                </c:pt>
                <c:pt idx="26">
                  <c:v>2032</c:v>
                </c:pt>
                <c:pt idx="27">
                  <c:v>2033</c:v>
                </c:pt>
                <c:pt idx="28">
                  <c:v>2034</c:v>
                </c:pt>
                <c:pt idx="29">
                  <c:v>2035</c:v>
                </c:pt>
                <c:pt idx="30">
                  <c:v>2036</c:v>
                </c:pt>
              </c:numCache>
            </c:numRef>
          </c:cat>
          <c:val>
            <c:numRef>
              <c:f>Chatbook!$H$3:$H$33</c:f>
              <c:numCache>
                <c:formatCode>#,##0</c:formatCode>
                <c:ptCount val="31"/>
                <c:pt idx="0">
                  <c:v>1021.7700814982269</c:v>
                </c:pt>
                <c:pt idx="1">
                  <c:v>968.89711479715436</c:v>
                </c:pt>
                <c:pt idx="2">
                  <c:v>950.39157645177886</c:v>
                </c:pt>
                <c:pt idx="3">
                  <c:v>971.54076313220799</c:v>
                </c:pt>
                <c:pt idx="4">
                  <c:v>995.33359814769062</c:v>
                </c:pt>
                <c:pt idx="5">
                  <c:v>1029.7010265033878</c:v>
                </c:pt>
                <c:pt idx="6">
                  <c:v>1024.4137298332805</c:v>
                </c:pt>
                <c:pt idx="7">
                  <c:v>1058.7811581889775</c:v>
                </c:pt>
                <c:pt idx="8">
                  <c:v>999.29907065027112</c:v>
                </c:pt>
                <c:pt idx="9">
                  <c:v>1036.3101473410218</c:v>
                </c:pt>
                <c:pt idx="10">
                  <c:v>1048.2065648487633</c:v>
                </c:pt>
                <c:pt idx="11">
                  <c:v>1146.0215532457473</c:v>
                </c:pt>
                <c:pt idx="12">
                  <c:v>1143.3779049106938</c:v>
                </c:pt>
                <c:pt idx="13">
                  <c:v>1188.3199266066053</c:v>
                </c:pt>
                <c:pt idx="14">
                  <c:v>1234.5837724700439</c:v>
                </c:pt>
                <c:pt idx="15">
                  <c:v>1124.8723665653183</c:v>
                </c:pt>
                <c:pt idx="16">
                  <c:v>912.05867559350133</c:v>
                </c:pt>
                <c:pt idx="17">
                  <c:v>980.79353230489562</c:v>
                </c:pt>
                <c:pt idx="18">
                  <c:v>1062.746630691558</c:v>
                </c:pt>
                <c:pt idx="19">
                  <c:v>1075.5051463620077</c:v>
                </c:pt>
                <c:pt idx="20">
                  <c:v>1085.9456420660076</c:v>
                </c:pt>
                <c:pt idx="21">
                  <c:v>1097.016652045575</c:v>
                </c:pt>
                <c:pt idx="22">
                  <c:v>1108.638689152961</c:v>
                </c:pt>
                <c:pt idx="23">
                  <c:v>1121.532683942668</c:v>
                </c:pt>
                <c:pt idx="24">
                  <c:v>1134.8778815845633</c:v>
                </c:pt>
                <c:pt idx="25">
                  <c:v>1148.2044565853159</c:v>
                </c:pt>
                <c:pt idx="26">
                  <c:v>1161.7701569707895</c:v>
                </c:pt>
                <c:pt idx="27">
                  <c:v>1175.5200470855957</c:v>
                </c:pt>
                <c:pt idx="28">
                  <c:v>1189.5240631963111</c:v>
                </c:pt>
                <c:pt idx="29">
                  <c:v>1203.6793892935173</c:v>
                </c:pt>
                <c:pt idx="30">
                  <c:v>1218.1608463951395</c:v>
                </c:pt>
              </c:numCache>
            </c:numRef>
          </c:val>
          <c:smooth val="0"/>
          <c:extLst>
            <c:ext xmlns:c16="http://schemas.microsoft.com/office/drawing/2014/chart" uri="{C3380CC4-5D6E-409C-BE32-E72D297353CC}">
              <c16:uniqueId val="{00000001-9D13-437F-875C-62451C0ABCEF}"/>
            </c:ext>
          </c:extLst>
        </c:ser>
        <c:ser>
          <c:idx val="2"/>
          <c:order val="2"/>
          <c:tx>
            <c:strRef>
              <c:f>Chatbook!$I$2</c:f>
              <c:strCache>
                <c:ptCount val="1"/>
                <c:pt idx="0">
                  <c:v>Low</c:v>
                </c:pt>
              </c:strCache>
            </c:strRef>
          </c:tx>
          <c:spPr>
            <a:ln w="28575" cap="rnd">
              <a:solidFill>
                <a:schemeClr val="tx2"/>
              </a:solidFill>
              <a:round/>
            </a:ln>
            <a:effectLst/>
          </c:spPr>
          <c:marker>
            <c:symbol val="none"/>
          </c:marker>
          <c:dPt>
            <c:idx val="0"/>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5-9D13-437F-875C-62451C0ABCEF}"/>
              </c:ext>
            </c:extLst>
          </c:dPt>
          <c:dPt>
            <c:idx val="20"/>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E-9D13-437F-875C-62451C0ABCEF}"/>
              </c:ext>
            </c:extLst>
          </c:dPt>
          <c:dPt>
            <c:idx val="21"/>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D-9D13-437F-875C-62451C0ABCEF}"/>
              </c:ext>
            </c:extLst>
          </c:dPt>
          <c:dPt>
            <c:idx val="22"/>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C-9D13-437F-875C-62451C0ABCEF}"/>
              </c:ext>
            </c:extLst>
          </c:dPt>
          <c:dPt>
            <c:idx val="23"/>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B-9D13-437F-875C-62451C0ABCEF}"/>
              </c:ext>
            </c:extLst>
          </c:dPt>
          <c:dPt>
            <c:idx val="24"/>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A-9D13-437F-875C-62451C0ABCEF}"/>
              </c:ext>
            </c:extLst>
          </c:dPt>
          <c:dPt>
            <c:idx val="25"/>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9-9D13-437F-875C-62451C0ABCEF}"/>
              </c:ext>
            </c:extLst>
          </c:dPt>
          <c:dPt>
            <c:idx val="26"/>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8-9D13-437F-875C-62451C0ABCEF}"/>
              </c:ext>
            </c:extLst>
          </c:dPt>
          <c:dPt>
            <c:idx val="27"/>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7-9D13-437F-875C-62451C0ABCEF}"/>
              </c:ext>
            </c:extLst>
          </c:dPt>
          <c:dPt>
            <c:idx val="28"/>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6-9D13-437F-875C-62451C0ABCEF}"/>
              </c:ext>
            </c:extLst>
          </c:dPt>
          <c:dPt>
            <c:idx val="29"/>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4-9D13-437F-875C-62451C0ABCEF}"/>
              </c:ext>
            </c:extLst>
          </c:dPt>
          <c:dPt>
            <c:idx val="30"/>
            <c:marker>
              <c:symbol val="none"/>
            </c:marker>
            <c:bubble3D val="0"/>
            <c:spPr>
              <a:ln w="28575" cap="rnd">
                <a:solidFill>
                  <a:schemeClr val="tx2"/>
                </a:solidFill>
                <a:prstDash val="sysDot"/>
                <a:round/>
              </a:ln>
              <a:effectLst/>
            </c:spPr>
            <c:extLst>
              <c:ext xmlns:c16="http://schemas.microsoft.com/office/drawing/2014/chart" uri="{C3380CC4-5D6E-409C-BE32-E72D297353CC}">
                <c16:uniqueId val="{00000003-9D13-437F-875C-62451C0ABCEF}"/>
              </c:ext>
            </c:extLst>
          </c:dPt>
          <c:cat>
            <c:numRef>
              <c:f>Chatbook!$F$3:$F$33</c:f>
              <c:numCache>
                <c:formatCode>General</c:formatCode>
                <c:ptCount val="31"/>
                <c:pt idx="0">
                  <c:v>2006</c:v>
                </c:pt>
                <c:pt idx="1">
                  <c:v>2007</c:v>
                </c:pt>
                <c:pt idx="2">
                  <c:v>2008</c:v>
                </c:pt>
                <c:pt idx="3">
                  <c:v>2009</c:v>
                </c:pt>
                <c:pt idx="4">
                  <c:v>2010</c:v>
                </c:pt>
                <c:pt idx="5">
                  <c:v>2011</c:v>
                </c:pt>
                <c:pt idx="6">
                  <c:v>2012</c:v>
                </c:pt>
                <c:pt idx="7">
                  <c:v>2013</c:v>
                </c:pt>
                <c:pt idx="8">
                  <c:v>2014</c:v>
                </c:pt>
                <c:pt idx="9">
                  <c:v>2015</c:v>
                </c:pt>
                <c:pt idx="10">
                  <c:v>2016</c:v>
                </c:pt>
                <c:pt idx="11">
                  <c:v>2017</c:v>
                </c:pt>
                <c:pt idx="12">
                  <c:v>2018</c:v>
                </c:pt>
                <c:pt idx="13">
                  <c:v>2019</c:v>
                </c:pt>
                <c:pt idx="14">
                  <c:v>2020</c:v>
                </c:pt>
                <c:pt idx="15">
                  <c:v>2021</c:v>
                </c:pt>
                <c:pt idx="16">
                  <c:v>2022</c:v>
                </c:pt>
                <c:pt idx="17">
                  <c:v>2023</c:v>
                </c:pt>
                <c:pt idx="18">
                  <c:v>2024</c:v>
                </c:pt>
                <c:pt idx="19">
                  <c:v>2025</c:v>
                </c:pt>
                <c:pt idx="20">
                  <c:v>2026</c:v>
                </c:pt>
                <c:pt idx="21">
                  <c:v>2027</c:v>
                </c:pt>
                <c:pt idx="22">
                  <c:v>2028</c:v>
                </c:pt>
                <c:pt idx="23">
                  <c:v>2029</c:v>
                </c:pt>
                <c:pt idx="24">
                  <c:v>2030</c:v>
                </c:pt>
                <c:pt idx="25">
                  <c:v>2031</c:v>
                </c:pt>
                <c:pt idx="26">
                  <c:v>2032</c:v>
                </c:pt>
                <c:pt idx="27">
                  <c:v>2033</c:v>
                </c:pt>
                <c:pt idx="28">
                  <c:v>2034</c:v>
                </c:pt>
                <c:pt idx="29">
                  <c:v>2035</c:v>
                </c:pt>
                <c:pt idx="30">
                  <c:v>2036</c:v>
                </c:pt>
              </c:numCache>
            </c:numRef>
          </c:cat>
          <c:val>
            <c:numRef>
              <c:f>Chatbook!$I$3:$I$33</c:f>
              <c:numCache>
                <c:formatCode>#,##0</c:formatCode>
                <c:ptCount val="31"/>
                <c:pt idx="0">
                  <c:v>1021.7700814982269</c:v>
                </c:pt>
                <c:pt idx="1">
                  <c:v>968.89711479715436</c:v>
                </c:pt>
                <c:pt idx="2">
                  <c:v>950.39157645177886</c:v>
                </c:pt>
                <c:pt idx="3">
                  <c:v>971.54076313220799</c:v>
                </c:pt>
                <c:pt idx="4">
                  <c:v>995.33359814769062</c:v>
                </c:pt>
                <c:pt idx="5">
                  <c:v>1029.7010265033878</c:v>
                </c:pt>
                <c:pt idx="6">
                  <c:v>1024.4137298332805</c:v>
                </c:pt>
                <c:pt idx="7">
                  <c:v>1058.7811581889775</c:v>
                </c:pt>
                <c:pt idx="8">
                  <c:v>999.29907065027112</c:v>
                </c:pt>
                <c:pt idx="9">
                  <c:v>1036.3101473410218</c:v>
                </c:pt>
                <c:pt idx="10">
                  <c:v>1048.2065648487633</c:v>
                </c:pt>
                <c:pt idx="11">
                  <c:v>1146.0215532457473</c:v>
                </c:pt>
                <c:pt idx="12">
                  <c:v>1143.3779049106938</c:v>
                </c:pt>
                <c:pt idx="13">
                  <c:v>1188.3199266066053</c:v>
                </c:pt>
                <c:pt idx="14">
                  <c:v>1234.5837724700439</c:v>
                </c:pt>
                <c:pt idx="15">
                  <c:v>1124.8723665653183</c:v>
                </c:pt>
                <c:pt idx="16">
                  <c:v>912.05867559350133</c:v>
                </c:pt>
                <c:pt idx="17">
                  <c:v>980.79353230489562</c:v>
                </c:pt>
                <c:pt idx="18">
                  <c:v>1062.746630691558</c:v>
                </c:pt>
                <c:pt idx="19">
                  <c:v>1072.1395228761878</c:v>
                </c:pt>
                <c:pt idx="20">
                  <c:v>1080.846436482931</c:v>
                </c:pt>
                <c:pt idx="21">
                  <c:v>1089.9116705813622</c:v>
                </c:pt>
                <c:pt idx="22">
                  <c:v>1099.2969191172497</c:v>
                </c:pt>
                <c:pt idx="23">
                  <c:v>1109.1958412167385</c:v>
                </c:pt>
                <c:pt idx="24">
                  <c:v>1119.2929318855586</c:v>
                </c:pt>
                <c:pt idx="25">
                  <c:v>1129.3826765757301</c:v>
                </c:pt>
                <c:pt idx="26">
                  <c:v>1139.624981268812</c:v>
                </c:pt>
                <c:pt idx="27">
                  <c:v>1149.9625901819543</c:v>
                </c:pt>
                <c:pt idx="28">
                  <c:v>1160.4665734767657</c:v>
                </c:pt>
                <c:pt idx="29">
                  <c:v>1171.0350392428263</c:v>
                </c:pt>
                <c:pt idx="30">
                  <c:v>1181.8217816673912</c:v>
                </c:pt>
              </c:numCache>
            </c:numRef>
          </c:val>
          <c:smooth val="0"/>
          <c:extLst>
            <c:ext xmlns:c16="http://schemas.microsoft.com/office/drawing/2014/chart" uri="{C3380CC4-5D6E-409C-BE32-E72D297353CC}">
              <c16:uniqueId val="{00000002-9D13-437F-875C-62451C0ABCEF}"/>
            </c:ext>
          </c:extLst>
        </c:ser>
        <c:dLbls>
          <c:showLegendKey val="0"/>
          <c:showVal val="0"/>
          <c:showCatName val="0"/>
          <c:showSerName val="0"/>
          <c:showPercent val="0"/>
          <c:showBubbleSize val="0"/>
        </c:dLbls>
        <c:smooth val="0"/>
        <c:axId val="1016140096"/>
        <c:axId val="1016140456"/>
      </c:lineChart>
      <c:catAx>
        <c:axId val="10161400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crossAx val="1016140456"/>
        <c:crosses val="autoZero"/>
        <c:auto val="1"/>
        <c:lblAlgn val="ctr"/>
        <c:lblOffset val="100"/>
        <c:noMultiLvlLbl val="0"/>
      </c:catAx>
      <c:valAx>
        <c:axId val="1016140456"/>
        <c:scaling>
          <c:orientation val="minMax"/>
          <c:min val="900"/>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crossAx val="1016140096"/>
        <c:crosses val="autoZero"/>
        <c:crossBetween val="between"/>
        <c:majorUnit val="100"/>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800">
          <a:latin typeface="Helvetica Neue LT Std 65 Medium"/>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'Completion Data - Scenario 1'!$B$1</c:f>
              <c:strCache>
                <c:ptCount val="1"/>
                <c:pt idx="0">
                  <c:v>Electrical Installation</c:v>
                </c:pt>
              </c:strCache>
            </c:strRef>
          </c:tx>
          <c:spPr>
            <a:solidFill>
              <a:schemeClr val="accent1"/>
            </a:solidFill>
            <a:ln>
              <a:noFill/>
            </a:ln>
            <a:effectLst/>
          </c:spPr>
          <c:invertIfNegative val="0"/>
          <c:cat>
            <c:strRef>
              <c:f>'Completion Data - Scenario 1'!$A$2:$A$22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1'!$B$2:$B$22</c:f>
              <c:numCache>
                <c:formatCode>0</c:formatCode>
                <c:ptCount val="21"/>
                <c:pt idx="0">
                  <c:v>299.70000000000005</c:v>
                </c:pt>
                <c:pt idx="1">
                  <c:v>420.75</c:v>
                </c:pt>
                <c:pt idx="2">
                  <c:v>307.5</c:v>
                </c:pt>
                <c:pt idx="3">
                  <c:v>295.2</c:v>
                </c:pt>
                <c:pt idx="4">
                  <c:v>311.85000000000002</c:v>
                </c:pt>
                <c:pt idx="5">
                  <c:v>386.34000000000003</c:v>
                </c:pt>
                <c:pt idx="6">
                  <c:v>345.24</c:v>
                </c:pt>
                <c:pt idx="7">
                  <c:v>296.39999999999998</c:v>
                </c:pt>
                <c:pt idx="8">
                  <c:v>224.4</c:v>
                </c:pt>
                <c:pt idx="9">
                  <c:v>333.3</c:v>
                </c:pt>
                <c:pt idx="10">
                  <c:v>370.33333333333331</c:v>
                </c:pt>
                <c:pt idx="11">
                  <c:v>407.36666666666667</c:v>
                </c:pt>
                <c:pt idx="12">
                  <c:v>292.89999999999998</c:v>
                </c:pt>
                <c:pt idx="13">
                  <c:v>248.19803503980049</c:v>
                </c:pt>
                <c:pt idx="14">
                  <c:v>247.45221011843748</c:v>
                </c:pt>
                <c:pt idx="15">
                  <c:v>246.70272374188664</c:v>
                </c:pt>
                <c:pt idx="16">
                  <c:v>246.18488533298637</c:v>
                </c:pt>
                <c:pt idx="17">
                  <c:v>245.4410412265201</c:v>
                </c:pt>
                <c:pt idx="18">
                  <c:v>244.39626862968544</c:v>
                </c:pt>
                <c:pt idx="19">
                  <c:v>243.39858320701146</c:v>
                </c:pt>
                <c:pt idx="20">
                  <c:v>242.41411664285448</c:v>
                </c:pt>
              </c:numCache>
            </c:numRef>
          </c:val>
          <c:extLst>
            <c:ext xmlns:c16="http://schemas.microsoft.com/office/drawing/2014/chart" uri="{C3380CC4-5D6E-409C-BE32-E72D297353CC}">
              <c16:uniqueId val="{00000000-44D3-4E92-A7F5-2B66F8F046A8}"/>
            </c:ext>
          </c:extLst>
        </c:ser>
        <c:ser>
          <c:idx val="1"/>
          <c:order val="1"/>
          <c:tx>
            <c:strRef>
              <c:f>'Completion Data - Scenario 1'!$C$1</c:f>
              <c:strCache>
                <c:ptCount val="1"/>
                <c:pt idx="0">
                  <c:v>Plumbing and Heating</c:v>
                </c:pt>
              </c:strCache>
            </c:strRef>
          </c:tx>
          <c:spPr>
            <a:solidFill>
              <a:schemeClr val="accent2"/>
            </a:solidFill>
            <a:ln>
              <a:noFill/>
            </a:ln>
            <a:effectLst/>
          </c:spPr>
          <c:invertIfNegative val="0"/>
          <c:cat>
            <c:strRef>
              <c:f>'Completion Data - Scenario 1'!$A$2:$A$22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1'!$C$2:$C$22</c:f>
              <c:numCache>
                <c:formatCode>0</c:formatCode>
                <c:ptCount val="21"/>
                <c:pt idx="0">
                  <c:v>125.55000000000001</c:v>
                </c:pt>
                <c:pt idx="1">
                  <c:v>127.5</c:v>
                </c:pt>
                <c:pt idx="2">
                  <c:v>168.1</c:v>
                </c:pt>
                <c:pt idx="3">
                  <c:v>151.69999999999999</c:v>
                </c:pt>
                <c:pt idx="4">
                  <c:v>113.4</c:v>
                </c:pt>
                <c:pt idx="5">
                  <c:v>102.75000000000001</c:v>
                </c:pt>
                <c:pt idx="6">
                  <c:v>123.30000000000001</c:v>
                </c:pt>
                <c:pt idx="7">
                  <c:v>117.8</c:v>
                </c:pt>
                <c:pt idx="8">
                  <c:v>89.100000000000009</c:v>
                </c:pt>
                <c:pt idx="9">
                  <c:v>62.7</c:v>
                </c:pt>
                <c:pt idx="10">
                  <c:v>212.1</c:v>
                </c:pt>
                <c:pt idx="11">
                  <c:v>228.93333333333334</c:v>
                </c:pt>
                <c:pt idx="12">
                  <c:v>138.03333333333333</c:v>
                </c:pt>
                <c:pt idx="13">
                  <c:v>100.1748954339176</c:v>
                </c:pt>
                <c:pt idx="14">
                  <c:v>99.873873979426335</c:v>
                </c:pt>
                <c:pt idx="15">
                  <c:v>99.571374729631358</c:v>
                </c:pt>
                <c:pt idx="16">
                  <c:v>99.36237062347503</c:v>
                </c:pt>
                <c:pt idx="17">
                  <c:v>99.062148643182383</c:v>
                </c:pt>
                <c:pt idx="18">
                  <c:v>98.640469294982239</c:v>
                </c:pt>
                <c:pt idx="19">
                  <c:v>98.237794741671294</c:v>
                </c:pt>
                <c:pt idx="20">
                  <c:v>97.84045543515019</c:v>
                </c:pt>
              </c:numCache>
            </c:numRef>
          </c:val>
          <c:extLst>
            <c:ext xmlns:c16="http://schemas.microsoft.com/office/drawing/2014/chart" uri="{C3380CC4-5D6E-409C-BE32-E72D297353CC}">
              <c16:uniqueId val="{00000001-44D3-4E92-A7F5-2B66F8F046A8}"/>
            </c:ext>
          </c:extLst>
        </c:ser>
        <c:ser>
          <c:idx val="2"/>
          <c:order val="2"/>
          <c:tx>
            <c:strRef>
              <c:f>'Completion Data - Scenario 1'!$D$1</c:f>
              <c:strCache>
                <c:ptCount val="1"/>
                <c:pt idx="0">
                  <c:v>Heating and Ventilation</c:v>
                </c:pt>
              </c:strCache>
            </c:strRef>
          </c:tx>
          <c:spPr>
            <a:solidFill>
              <a:schemeClr val="accent3"/>
            </a:solidFill>
            <a:ln>
              <a:noFill/>
            </a:ln>
            <a:effectLst/>
          </c:spPr>
          <c:invertIfNegative val="0"/>
          <c:cat>
            <c:strRef>
              <c:f>'Completion Data - Scenario 1'!$A$2:$A$22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1'!$D$2:$D$22</c:f>
              <c:numCache>
                <c:formatCode>0</c:formatCode>
                <c:ptCount val="21"/>
                <c:pt idx="0">
                  <c:v>12.15</c:v>
                </c:pt>
                <c:pt idx="1">
                  <c:v>8.5</c:v>
                </c:pt>
                <c:pt idx="2">
                  <c:v>0</c:v>
                </c:pt>
                <c:pt idx="3">
                  <c:v>12.299999999999999</c:v>
                </c:pt>
                <c:pt idx="4">
                  <c:v>4.0500000000000007</c:v>
                </c:pt>
                <c:pt idx="5">
                  <c:v>12.330000000000002</c:v>
                </c:pt>
                <c:pt idx="6">
                  <c:v>8.2200000000000006</c:v>
                </c:pt>
                <c:pt idx="7">
                  <c:v>11.4</c:v>
                </c:pt>
                <c:pt idx="8">
                  <c:v>8.1000000000000014</c:v>
                </c:pt>
                <c:pt idx="9">
                  <c:v>9.9</c:v>
                </c:pt>
                <c:pt idx="10">
                  <c:v>0</c:v>
                </c:pt>
                <c:pt idx="11">
                  <c:v>0</c:v>
                </c:pt>
                <c:pt idx="12">
                  <c:v>10.1</c:v>
                </c:pt>
                <c:pt idx="13">
                  <c:v>5.1855239989322044</c:v>
                </c:pt>
                <c:pt idx="14">
                  <c:v>5.1699417118761861</c:v>
                </c:pt>
                <c:pt idx="15">
                  <c:v>5.1542829271809172</c:v>
                </c:pt>
                <c:pt idx="16">
                  <c:v>5.1434638910975305</c:v>
                </c:pt>
                <c:pt idx="17">
                  <c:v>5.1279229885882645</c:v>
                </c:pt>
                <c:pt idx="18">
                  <c:v>5.1060948811520221</c:v>
                </c:pt>
                <c:pt idx="19">
                  <c:v>5.085250551333572</c:v>
                </c:pt>
                <c:pt idx="20">
                  <c:v>5.0646823989960099</c:v>
                </c:pt>
              </c:numCache>
            </c:numRef>
          </c:val>
          <c:extLst>
            <c:ext xmlns:c16="http://schemas.microsoft.com/office/drawing/2014/chart" uri="{C3380CC4-5D6E-409C-BE32-E72D297353CC}">
              <c16:uniqueId val="{00000002-44D3-4E92-A7F5-2B66F8F046A8}"/>
            </c:ext>
          </c:extLst>
        </c:ser>
        <c:ser>
          <c:idx val="3"/>
          <c:order val="3"/>
          <c:tx>
            <c:strRef>
              <c:f>'Completion Data - Scenario 1'!$E$1</c:f>
              <c:strCache>
                <c:ptCount val="1"/>
                <c:pt idx="0">
                  <c:v>Construction Specialist</c:v>
                </c:pt>
              </c:strCache>
            </c:strRef>
          </c:tx>
          <c:spPr>
            <a:solidFill>
              <a:schemeClr val="accent4"/>
            </a:solidFill>
            <a:ln>
              <a:noFill/>
            </a:ln>
            <a:effectLst/>
          </c:spPr>
          <c:invertIfNegative val="0"/>
          <c:cat>
            <c:strRef>
              <c:f>'Completion Data - Scenario 1'!$A$2:$A$22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1'!$E$2:$E$22</c:f>
              <c:numCache>
                <c:formatCode>0</c:formatCode>
                <c:ptCount val="21"/>
                <c:pt idx="0">
                  <c:v>20.25</c:v>
                </c:pt>
                <c:pt idx="1">
                  <c:v>21.25</c:v>
                </c:pt>
                <c:pt idx="2">
                  <c:v>32.799999999999997</c:v>
                </c:pt>
                <c:pt idx="3">
                  <c:v>28.7</c:v>
                </c:pt>
                <c:pt idx="4">
                  <c:v>32.400000000000006</c:v>
                </c:pt>
                <c:pt idx="5">
                  <c:v>24.660000000000004</c:v>
                </c:pt>
                <c:pt idx="6">
                  <c:v>28.770000000000003</c:v>
                </c:pt>
                <c:pt idx="7">
                  <c:v>11.4</c:v>
                </c:pt>
                <c:pt idx="8">
                  <c:v>8.1000000000000014</c:v>
                </c:pt>
                <c:pt idx="9">
                  <c:v>9.9</c:v>
                </c:pt>
                <c:pt idx="10">
                  <c:v>0</c:v>
                </c:pt>
                <c:pt idx="11">
                  <c:v>0</c:v>
                </c:pt>
                <c:pt idx="12">
                  <c:v>0</c:v>
                </c:pt>
                <c:pt idx="13">
                  <c:v>12.72810436101541</c:v>
                </c:pt>
                <c:pt idx="14">
                  <c:v>12.689856929150638</c:v>
                </c:pt>
                <c:pt idx="15">
                  <c:v>12.65142173035316</c:v>
                </c:pt>
                <c:pt idx="16">
                  <c:v>12.624865914512121</c:v>
                </c:pt>
                <c:pt idx="17">
                  <c:v>12.586720062898467</c:v>
                </c:pt>
                <c:pt idx="18">
                  <c:v>12.533141981009507</c:v>
                </c:pt>
                <c:pt idx="19">
                  <c:v>12.481978626000586</c:v>
                </c:pt>
                <c:pt idx="20">
                  <c:v>12.431493161172023</c:v>
                </c:pt>
              </c:numCache>
            </c:numRef>
          </c:val>
          <c:extLst>
            <c:ext xmlns:c16="http://schemas.microsoft.com/office/drawing/2014/chart" uri="{C3380CC4-5D6E-409C-BE32-E72D297353CC}">
              <c16:uniqueId val="{00000003-44D3-4E92-A7F5-2B66F8F046A8}"/>
            </c:ext>
          </c:extLst>
        </c:ser>
        <c:ser>
          <c:idx val="4"/>
          <c:order val="4"/>
          <c:tx>
            <c:strRef>
              <c:f>'Completion Data - Scenario 1'!$F$1</c:f>
              <c:strCache>
                <c:ptCount val="1"/>
                <c:pt idx="0">
                  <c:v>Construction (Civl Engineering)</c:v>
                </c:pt>
              </c:strCache>
            </c:strRef>
          </c:tx>
          <c:spPr>
            <a:solidFill>
              <a:schemeClr val="accent5"/>
            </a:solidFill>
            <a:ln>
              <a:noFill/>
            </a:ln>
            <a:effectLst/>
          </c:spPr>
          <c:invertIfNegative val="0"/>
          <c:cat>
            <c:strRef>
              <c:f>'Completion Data - Scenario 1'!$A$2:$A$22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1'!$F$2:$F$22</c:f>
              <c:numCache>
                <c:formatCode>0</c:formatCode>
                <c:ptCount val="21"/>
                <c:pt idx="0">
                  <c:v>0</c:v>
                </c:pt>
                <c:pt idx="1">
                  <c:v>21.25</c:v>
                </c:pt>
                <c:pt idx="2">
                  <c:v>16.399999999999999</c:v>
                </c:pt>
                <c:pt idx="3">
                  <c:v>0</c:v>
                </c:pt>
                <c:pt idx="4">
                  <c:v>0</c:v>
                </c:pt>
                <c:pt idx="5">
                  <c:v>0</c:v>
                </c:pt>
                <c:pt idx="6">
                  <c:v>8.2200000000000006</c:v>
                </c:pt>
                <c:pt idx="7">
                  <c:v>0</c:v>
                </c:pt>
                <c:pt idx="8">
                  <c:v>16.200000000000003</c:v>
                </c:pt>
                <c:pt idx="9">
                  <c:v>16.5</c:v>
                </c:pt>
                <c:pt idx="10">
                  <c:v>13.466666666666667</c:v>
                </c:pt>
                <c:pt idx="11">
                  <c:v>20.2</c:v>
                </c:pt>
                <c:pt idx="12">
                  <c:v>20.2</c:v>
                </c:pt>
                <c:pt idx="13">
                  <c:v>7.0711690894530035</c:v>
                </c:pt>
                <c:pt idx="14">
                  <c:v>7.0499205161947982</c:v>
                </c:pt>
                <c:pt idx="15">
                  <c:v>7.0285676279739757</c:v>
                </c:pt>
                <c:pt idx="16">
                  <c:v>7.0138143969511759</c:v>
                </c:pt>
                <c:pt idx="17">
                  <c:v>6.9926222571658139</c:v>
                </c:pt>
                <c:pt idx="18">
                  <c:v>6.9628566561163918</c:v>
                </c:pt>
                <c:pt idx="19">
                  <c:v>6.9344325700003244</c:v>
                </c:pt>
                <c:pt idx="20">
                  <c:v>6.9063850895400112</c:v>
                </c:pt>
              </c:numCache>
            </c:numRef>
          </c:val>
          <c:extLst>
            <c:ext xmlns:c16="http://schemas.microsoft.com/office/drawing/2014/chart" uri="{C3380CC4-5D6E-409C-BE32-E72D297353CC}">
              <c16:uniqueId val="{00000004-44D3-4E92-A7F5-2B66F8F046A8}"/>
            </c:ext>
          </c:extLst>
        </c:ser>
        <c:dLbls>
          <c:showLegendKey val="0"/>
          <c:showVal val="0"/>
          <c:showCatName val="0"/>
          <c:showSerName val="0"/>
          <c:showPercent val="0"/>
          <c:showBubbleSize val="0"/>
        </c:dLbls>
        <c:gapWidth val="150"/>
        <c:overlap val="100"/>
        <c:axId val="821603360"/>
        <c:axId val="821617760"/>
      </c:barChart>
      <c:catAx>
        <c:axId val="8216033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crossAx val="821617760"/>
        <c:crosses val="autoZero"/>
        <c:auto val="1"/>
        <c:lblAlgn val="ctr"/>
        <c:lblOffset val="100"/>
        <c:noMultiLvlLbl val="0"/>
      </c:catAx>
      <c:valAx>
        <c:axId val="82161776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crossAx val="8216033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800">
          <a:latin typeface="Helvetica Neue LT Std 65 Medium"/>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Sheet1!$A$4</c:f>
              <c:strCache>
                <c:ptCount val="1"/>
                <c:pt idx="0">
                  <c:v>Labour Supply</c:v>
                </c:pt>
              </c:strCache>
            </c:strRef>
          </c:tx>
          <c:spPr>
            <a:solidFill>
              <a:schemeClr val="accent1"/>
            </a:solidFill>
            <a:ln>
              <a:noFill/>
            </a:ln>
            <a:effectLst/>
          </c:spPr>
          <c:invertIfNegative val="0"/>
          <c:dLbls>
            <c:dLbl>
              <c:idx val="0"/>
              <c:tx>
                <c:rich>
                  <a:bodyPr/>
                  <a:lstStyle/>
                  <a:p>
                    <a:r>
                      <a:rPr lang="en-US"/>
                      <a:t>23,900</a:t>
                    </a:r>
                  </a:p>
                  <a:p>
                    <a:r>
                      <a:rPr lang="en-US"/>
                      <a:t>(87%)</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2429-4950-AB2C-743C26E2E006}"/>
                </c:ext>
              </c:extLst>
            </c:dLbl>
            <c:dLbl>
              <c:idx val="1"/>
              <c:tx>
                <c:rich>
                  <a:bodyPr/>
                  <a:lstStyle/>
                  <a:p>
                    <a:r>
                      <a:rPr lang="en-US"/>
                      <a:t>23,200</a:t>
                    </a:r>
                  </a:p>
                  <a:p>
                    <a:r>
                      <a:rPr lang="en-US"/>
                      <a:t>(74%)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2429-4950-AB2C-743C26E2E006}"/>
                </c:ext>
              </c:extLst>
            </c:dLbl>
            <c:dLbl>
              <c:idx val="2"/>
              <c:tx>
                <c:rich>
                  <a:bodyPr/>
                  <a:lstStyle/>
                  <a:p>
                    <a:r>
                      <a:rPr lang="en-US"/>
                      <a:t>22,500</a:t>
                    </a:r>
                  </a:p>
                  <a:p>
                    <a:r>
                      <a:rPr lang="en-US"/>
                      <a:t>(63%)</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2429-4950-AB2C-743C26E2E006}"/>
                </c:ext>
              </c:extLst>
            </c:dLbl>
            <c:dLbl>
              <c:idx val="3"/>
              <c:tx>
                <c:rich>
                  <a:bodyPr/>
                  <a:lstStyle/>
                  <a:p>
                    <a:r>
                      <a:rPr lang="en-US"/>
                      <a:t>22,000</a:t>
                    </a:r>
                  </a:p>
                  <a:p>
                    <a:r>
                      <a:rPr lang="en-US"/>
                      <a:t>(53%)</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2429-4950-AB2C-743C26E2E006}"/>
                </c:ext>
              </c:extLst>
            </c:dLbl>
            <c:dLbl>
              <c:idx val="4"/>
              <c:tx>
                <c:rich>
                  <a:bodyPr/>
                  <a:lstStyle/>
                  <a:p>
                    <a:r>
                      <a:rPr lang="en-US"/>
                      <a:t>21,500</a:t>
                    </a:r>
                  </a:p>
                  <a:p>
                    <a:r>
                      <a:rPr lang="en-US"/>
                      <a:t>(44%)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2429-4950-AB2C-743C26E2E006}"/>
                </c:ext>
              </c:extLst>
            </c:dLbl>
            <c:dLbl>
              <c:idx val="5"/>
              <c:tx>
                <c:rich>
                  <a:bodyPr/>
                  <a:lstStyle/>
                  <a:p>
                    <a:r>
                      <a:rPr lang="en-US"/>
                      <a:t>20,900</a:t>
                    </a:r>
                  </a:p>
                  <a:p>
                    <a:r>
                      <a:rPr lang="en-US"/>
                      <a:t>(36%)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2429-4950-AB2C-743C26E2E006}"/>
                </c:ext>
              </c:extLst>
            </c:dLbl>
            <c:dLbl>
              <c:idx val="6"/>
              <c:tx>
                <c:rich>
                  <a:bodyPr/>
                  <a:lstStyle/>
                  <a:p>
                    <a:r>
                      <a:rPr lang="en-US"/>
                      <a:t>20,400</a:t>
                    </a:r>
                  </a:p>
                  <a:p>
                    <a:r>
                      <a:rPr lang="en-US"/>
                      <a:t>(28%)</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2429-4950-AB2C-743C26E2E006}"/>
                </c:ext>
              </c:extLst>
            </c:dLbl>
            <c:dLbl>
              <c:idx val="7"/>
              <c:tx>
                <c:rich>
                  <a:bodyPr/>
                  <a:lstStyle/>
                  <a:p>
                    <a:r>
                      <a:rPr lang="en-US"/>
                      <a:t>19,900</a:t>
                    </a:r>
                  </a:p>
                  <a:p>
                    <a:r>
                      <a:rPr lang="en-US"/>
                      <a:t>(25%)</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2429-4950-AB2C-743C26E2E006}"/>
                </c:ext>
              </c:extLst>
            </c:dLbl>
            <c:dLbl>
              <c:idx val="8"/>
              <c:tx>
                <c:rich>
                  <a:bodyPr/>
                  <a:lstStyle/>
                  <a:p>
                    <a:r>
                      <a:rPr lang="en-US"/>
                      <a:t>19,500</a:t>
                    </a:r>
                  </a:p>
                  <a:p>
                    <a:r>
                      <a:rPr lang="en-US"/>
                      <a:t>(26%)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A-2429-4950-AB2C-743C26E2E006}"/>
                </c:ext>
              </c:extLst>
            </c:dLbl>
            <c:dLbl>
              <c:idx val="9"/>
              <c:tx>
                <c:rich>
                  <a:bodyPr/>
                  <a:lstStyle/>
                  <a:p>
                    <a:r>
                      <a:rPr lang="en-US"/>
                      <a:t>19,000</a:t>
                    </a:r>
                  </a:p>
                  <a:p>
                    <a:r>
                      <a:rPr lang="en-US"/>
                      <a:t>(25%)</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2429-4950-AB2C-743C26E2E006}"/>
                </c:ext>
              </c:extLst>
            </c:dLbl>
            <c:spPr>
              <a:solidFill>
                <a:schemeClr val="tx2"/>
              </a:solid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Sheet1!$B$2:$K$2</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Sheet1!$B$4:$K$4</c:f>
              <c:numCache>
                <c:formatCode>#,##0</c:formatCode>
                <c:ptCount val="10"/>
                <c:pt idx="0">
                  <c:v>23933.592441397352</c:v>
                </c:pt>
                <c:pt idx="1">
                  <c:v>23175.743720459563</c:v>
                </c:pt>
                <c:pt idx="2">
                  <c:v>22526.923679996638</c:v>
                </c:pt>
                <c:pt idx="3">
                  <c:v>21986.795893207007</c:v>
                </c:pt>
                <c:pt idx="4">
                  <c:v>21457.612680352493</c:v>
                </c:pt>
                <c:pt idx="5">
                  <c:v>20940.175444484055</c:v>
                </c:pt>
                <c:pt idx="6">
                  <c:v>20433.833336525466</c:v>
                </c:pt>
                <c:pt idx="7">
                  <c:v>19938.034013112123</c:v>
                </c:pt>
                <c:pt idx="8">
                  <c:v>19453.053103652786</c:v>
                </c:pt>
                <c:pt idx="9">
                  <c:v>18978.563163214851</c:v>
                </c:pt>
              </c:numCache>
            </c:numRef>
          </c:val>
          <c:extLst>
            <c:ext xmlns:c16="http://schemas.microsoft.com/office/drawing/2014/chart" uri="{C3380CC4-5D6E-409C-BE32-E72D297353CC}">
              <c16:uniqueId val="{00000000-2429-4950-AB2C-743C26E2E006}"/>
            </c:ext>
          </c:extLst>
        </c:ser>
        <c:ser>
          <c:idx val="1"/>
          <c:order val="1"/>
          <c:tx>
            <c:strRef>
              <c:f>Sheet1!$A$5</c:f>
              <c:strCache>
                <c:ptCount val="1"/>
                <c:pt idx="0">
                  <c:v>Workforce Gap</c:v>
                </c:pt>
              </c:strCache>
            </c:strRef>
          </c:tx>
          <c:spPr>
            <a:solidFill>
              <a:srgbClr val="EE0000"/>
            </a:solidFill>
            <a:ln>
              <a:noFill/>
            </a:ln>
            <a:effectLst/>
          </c:spPr>
          <c:invertIfNegative val="0"/>
          <c:dLbls>
            <c:dLbl>
              <c:idx val="0"/>
              <c:layout>
                <c:manualLayout>
                  <c:x val="-2.0257592870219656E-17"/>
                  <c:y val="-9.9206349206349201E-2"/>
                </c:manualLayout>
              </c:layout>
              <c:tx>
                <c:rich>
                  <a:bodyPr/>
                  <a:lstStyle/>
                  <a:p>
                    <a:r>
                      <a:rPr lang="en-US"/>
                      <a:t>3,400</a:t>
                    </a:r>
                  </a:p>
                  <a:p>
                    <a:r>
                      <a:rPr lang="en-US"/>
                      <a:t>(13%)</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C-2429-4950-AB2C-743C26E2E006}"/>
                </c:ext>
              </c:extLst>
            </c:dLbl>
            <c:dLbl>
              <c:idx val="1"/>
              <c:layout>
                <c:manualLayout>
                  <c:x val="-4.0515185740439311E-17"/>
                  <c:y val="-0.10714285714285722"/>
                </c:manualLayout>
              </c:layout>
              <c:tx>
                <c:rich>
                  <a:bodyPr/>
                  <a:lstStyle/>
                  <a:p>
                    <a:r>
                      <a:rPr lang="en-US"/>
                      <a:t>8,000</a:t>
                    </a:r>
                  </a:p>
                  <a:p>
                    <a:r>
                      <a:rPr lang="en-US"/>
                      <a:t>(26%)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D-2429-4950-AB2C-743C26E2E006}"/>
                </c:ext>
              </c:extLst>
            </c:dLbl>
            <c:dLbl>
              <c:idx val="2"/>
              <c:layout>
                <c:manualLayout>
                  <c:x val="-4.0515185740439311E-17"/>
                  <c:y val="-0.14285714285714285"/>
                </c:manualLayout>
              </c:layout>
              <c:tx>
                <c:rich>
                  <a:bodyPr/>
                  <a:lstStyle/>
                  <a:p>
                    <a:r>
                      <a:rPr lang="en-US"/>
                      <a:t>13,300</a:t>
                    </a:r>
                  </a:p>
                  <a:p>
                    <a:r>
                      <a:rPr lang="en-US"/>
                      <a:t>(37%)</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E-2429-4950-AB2C-743C26E2E006}"/>
                </c:ext>
              </c:extLst>
            </c:dLbl>
            <c:dLbl>
              <c:idx val="3"/>
              <c:tx>
                <c:rich>
                  <a:bodyPr/>
                  <a:lstStyle/>
                  <a:p>
                    <a:r>
                      <a:rPr lang="en-US"/>
                      <a:t>19,300</a:t>
                    </a:r>
                  </a:p>
                  <a:p>
                    <a:r>
                      <a:rPr lang="en-US"/>
                      <a:t>(47%)</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F-2429-4950-AB2C-743C26E2E006}"/>
                </c:ext>
              </c:extLst>
            </c:dLbl>
            <c:dLbl>
              <c:idx val="4"/>
              <c:tx>
                <c:rich>
                  <a:bodyPr/>
                  <a:lstStyle/>
                  <a:p>
                    <a:r>
                      <a:rPr lang="en-US"/>
                      <a:t>27,500</a:t>
                    </a:r>
                  </a:p>
                  <a:p>
                    <a:r>
                      <a:rPr lang="en-US"/>
                      <a:t>(56%)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0-2429-4950-AB2C-743C26E2E006}"/>
                </c:ext>
              </c:extLst>
            </c:dLbl>
            <c:dLbl>
              <c:idx val="5"/>
              <c:tx>
                <c:rich>
                  <a:bodyPr/>
                  <a:lstStyle/>
                  <a:p>
                    <a:r>
                      <a:rPr lang="en-US"/>
                      <a:t>37,900</a:t>
                    </a:r>
                  </a:p>
                  <a:p>
                    <a:r>
                      <a:rPr lang="en-US"/>
                      <a:t>(64%)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1-2429-4950-AB2C-743C26E2E006}"/>
                </c:ext>
              </c:extLst>
            </c:dLbl>
            <c:dLbl>
              <c:idx val="6"/>
              <c:tx>
                <c:rich>
                  <a:bodyPr/>
                  <a:lstStyle/>
                  <a:p>
                    <a:r>
                      <a:rPr lang="en-US"/>
                      <a:t>53,600</a:t>
                    </a:r>
                  </a:p>
                  <a:p>
                    <a:r>
                      <a:rPr lang="en-US"/>
                      <a:t>(72%)</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2-2429-4950-AB2C-743C26E2E006}"/>
                </c:ext>
              </c:extLst>
            </c:dLbl>
            <c:dLbl>
              <c:idx val="7"/>
              <c:tx>
                <c:rich>
                  <a:bodyPr/>
                  <a:lstStyle/>
                  <a:p>
                    <a:r>
                      <a:rPr lang="en-US"/>
                      <a:t>58,300</a:t>
                    </a:r>
                  </a:p>
                  <a:p>
                    <a:r>
                      <a:rPr lang="en-US"/>
                      <a:t>(75%)</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3-2429-4950-AB2C-743C26E2E006}"/>
                </c:ext>
              </c:extLst>
            </c:dLbl>
            <c:dLbl>
              <c:idx val="8"/>
              <c:tx>
                <c:rich>
                  <a:bodyPr/>
                  <a:lstStyle/>
                  <a:p>
                    <a:r>
                      <a:rPr lang="en-US"/>
                      <a:t>56,500</a:t>
                    </a:r>
                  </a:p>
                  <a:p>
                    <a:r>
                      <a:rPr lang="en-US"/>
                      <a:t>(74%)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4-2429-4950-AB2C-743C26E2E006}"/>
                </c:ext>
              </c:extLst>
            </c:dLbl>
            <c:dLbl>
              <c:idx val="9"/>
              <c:tx>
                <c:rich>
                  <a:bodyPr/>
                  <a:lstStyle/>
                  <a:p>
                    <a:r>
                      <a:rPr lang="en-US"/>
                      <a:t>57,500</a:t>
                    </a:r>
                  </a:p>
                  <a:p>
                    <a:r>
                      <a:rPr lang="en-US"/>
                      <a:t>(75%)</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5-2429-4950-AB2C-743C26E2E006}"/>
                </c:ext>
              </c:extLst>
            </c:dLbl>
            <c:spPr>
              <a:solidFill>
                <a:srgbClr val="EE0000"/>
              </a:solid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Sheet1!$B$2:$K$2</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Sheet1!$B$5:$K$5</c:f>
              <c:numCache>
                <c:formatCode>#,##0</c:formatCode>
                <c:ptCount val="10"/>
                <c:pt idx="0">
                  <c:v>3429.3768126258606</c:v>
                </c:pt>
                <c:pt idx="1">
                  <c:v>7982.5456209539952</c:v>
                </c:pt>
                <c:pt idx="2">
                  <c:v>13290.412461849097</c:v>
                </c:pt>
                <c:pt idx="3">
                  <c:v>19281.81953337256</c:v>
                </c:pt>
                <c:pt idx="4">
                  <c:v>27456.408373410413</c:v>
                </c:pt>
                <c:pt idx="5">
                  <c:v>37935.486231641378</c:v>
                </c:pt>
                <c:pt idx="6">
                  <c:v>53580.821717603103</c:v>
                </c:pt>
                <c:pt idx="7">
                  <c:v>58290.208391754415</c:v>
                </c:pt>
                <c:pt idx="8">
                  <c:v>56519.778960188378</c:v>
                </c:pt>
                <c:pt idx="9">
                  <c:v>57524.235874518548</c:v>
                </c:pt>
              </c:numCache>
            </c:numRef>
          </c:val>
          <c:extLst>
            <c:ext xmlns:c16="http://schemas.microsoft.com/office/drawing/2014/chart" uri="{C3380CC4-5D6E-409C-BE32-E72D297353CC}">
              <c16:uniqueId val="{00000001-2429-4950-AB2C-743C26E2E006}"/>
            </c:ext>
          </c:extLst>
        </c:ser>
        <c:dLbls>
          <c:showLegendKey val="0"/>
          <c:showVal val="0"/>
          <c:showCatName val="0"/>
          <c:showSerName val="0"/>
          <c:showPercent val="0"/>
          <c:showBubbleSize val="0"/>
        </c:dLbls>
        <c:gapWidth val="150"/>
        <c:overlap val="100"/>
        <c:axId val="791313400"/>
        <c:axId val="791313760"/>
      </c:barChart>
      <c:catAx>
        <c:axId val="7913134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crossAx val="791313760"/>
        <c:crosses val="autoZero"/>
        <c:auto val="1"/>
        <c:lblAlgn val="ctr"/>
        <c:lblOffset val="100"/>
        <c:noMultiLvlLbl val="0"/>
      </c:catAx>
      <c:valAx>
        <c:axId val="79131376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crossAx val="791313400"/>
        <c:crosses val="autoZero"/>
        <c:crossBetween val="between"/>
        <c:majorUnit val="20000"/>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900">
          <a:latin typeface="Helvetica Neue LT Std 65 Medium"/>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Sheet1!$A$12</c:f>
              <c:strCache>
                <c:ptCount val="1"/>
                <c:pt idx="0">
                  <c:v>Labour Supply</c:v>
                </c:pt>
              </c:strCache>
            </c:strRef>
          </c:tx>
          <c:spPr>
            <a:solidFill>
              <a:schemeClr val="accent1"/>
            </a:solidFill>
            <a:ln>
              <a:noFill/>
            </a:ln>
            <a:effectLst/>
          </c:spPr>
          <c:invertIfNegative val="0"/>
          <c:dLbls>
            <c:dLbl>
              <c:idx val="0"/>
              <c:tx>
                <c:rich>
                  <a:bodyPr/>
                  <a:lstStyle/>
                  <a:p>
                    <a:r>
                      <a:rPr lang="en-US"/>
                      <a:t>23,900</a:t>
                    </a:r>
                  </a:p>
                  <a:p>
                    <a:r>
                      <a:rPr lang="en-US"/>
                      <a:t>(80%)</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A60C-490A-BFB6-57D929CA17AA}"/>
                </c:ext>
              </c:extLst>
            </c:dLbl>
            <c:dLbl>
              <c:idx val="1"/>
              <c:tx>
                <c:rich>
                  <a:bodyPr/>
                  <a:lstStyle/>
                  <a:p>
                    <a:r>
                      <a:rPr lang="en-US"/>
                      <a:t>23,200</a:t>
                    </a:r>
                  </a:p>
                  <a:p>
                    <a:r>
                      <a:rPr lang="en-US"/>
                      <a:t>(68%)</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A60C-490A-BFB6-57D929CA17AA}"/>
                </c:ext>
              </c:extLst>
            </c:dLbl>
            <c:dLbl>
              <c:idx val="2"/>
              <c:tx>
                <c:rich>
                  <a:bodyPr/>
                  <a:lstStyle/>
                  <a:p>
                    <a:r>
                      <a:rPr lang="en-US"/>
                      <a:t>22,500</a:t>
                    </a:r>
                  </a:p>
                  <a:p>
                    <a:r>
                      <a:rPr lang="en-US"/>
                      <a:t>(56%)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A60C-490A-BFB6-57D929CA17AA}"/>
                </c:ext>
              </c:extLst>
            </c:dLbl>
            <c:dLbl>
              <c:idx val="3"/>
              <c:tx>
                <c:rich>
                  <a:bodyPr/>
                  <a:lstStyle/>
                  <a:p>
                    <a:r>
                      <a:rPr lang="en-US"/>
                      <a:t>22,000</a:t>
                    </a:r>
                  </a:p>
                  <a:p>
                    <a:r>
                      <a:rPr lang="en-US"/>
                      <a:t>(46%)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A60C-490A-BFB6-57D929CA17AA}"/>
                </c:ext>
              </c:extLst>
            </c:dLbl>
            <c:dLbl>
              <c:idx val="4"/>
              <c:tx>
                <c:rich>
                  <a:bodyPr/>
                  <a:lstStyle/>
                  <a:p>
                    <a:r>
                      <a:rPr lang="en-US"/>
                      <a:t>21,500</a:t>
                    </a:r>
                  </a:p>
                  <a:p>
                    <a:r>
                      <a:rPr lang="en-US"/>
                      <a:t>(38%)</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A60C-490A-BFB6-57D929CA17AA}"/>
                </c:ext>
              </c:extLst>
            </c:dLbl>
            <c:dLbl>
              <c:idx val="5"/>
              <c:tx>
                <c:rich>
                  <a:bodyPr/>
                  <a:lstStyle/>
                  <a:p>
                    <a:r>
                      <a:rPr lang="en-US"/>
                      <a:t>20,900</a:t>
                    </a:r>
                  </a:p>
                  <a:p>
                    <a:r>
                      <a:rPr lang="en-US"/>
                      <a:t>(31%)</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A60C-490A-BFB6-57D929CA17AA}"/>
                </c:ext>
              </c:extLst>
            </c:dLbl>
            <c:dLbl>
              <c:idx val="6"/>
              <c:tx>
                <c:rich>
                  <a:bodyPr/>
                  <a:lstStyle/>
                  <a:p>
                    <a:r>
                      <a:rPr lang="en-US"/>
                      <a:t>20,400</a:t>
                    </a:r>
                  </a:p>
                  <a:p>
                    <a:r>
                      <a:rPr lang="en-US"/>
                      <a:t>(26%)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A60C-490A-BFB6-57D929CA17AA}"/>
                </c:ext>
              </c:extLst>
            </c:dLbl>
            <c:dLbl>
              <c:idx val="7"/>
              <c:tx>
                <c:rich>
                  <a:bodyPr/>
                  <a:lstStyle/>
                  <a:p>
                    <a:r>
                      <a:rPr lang="en-US"/>
                      <a:t>19,900</a:t>
                    </a:r>
                  </a:p>
                  <a:p>
                    <a:r>
                      <a:rPr lang="en-US"/>
                      <a:t>(23%)</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A60C-490A-BFB6-57D929CA17AA}"/>
                </c:ext>
              </c:extLst>
            </c:dLbl>
            <c:dLbl>
              <c:idx val="8"/>
              <c:tx>
                <c:rich>
                  <a:bodyPr/>
                  <a:lstStyle/>
                  <a:p>
                    <a:r>
                      <a:rPr lang="en-US"/>
                      <a:t>19,500</a:t>
                    </a:r>
                  </a:p>
                  <a:p>
                    <a:r>
                      <a:rPr lang="en-US"/>
                      <a:t>(21%)</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A-A60C-490A-BFB6-57D929CA17AA}"/>
                </c:ext>
              </c:extLst>
            </c:dLbl>
            <c:dLbl>
              <c:idx val="9"/>
              <c:tx>
                <c:rich>
                  <a:bodyPr/>
                  <a:lstStyle/>
                  <a:p>
                    <a:r>
                      <a:rPr lang="en-US"/>
                      <a:t>19,000</a:t>
                    </a:r>
                  </a:p>
                  <a:p>
                    <a:r>
                      <a:rPr lang="en-US"/>
                      <a:t>(20%)</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A60C-490A-BFB6-57D929CA17AA}"/>
                </c:ext>
              </c:extLst>
            </c:dLbl>
            <c:spPr>
              <a:solidFill>
                <a:schemeClr val="tx2"/>
              </a:solid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Sheet1!$B$10:$K$10</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Sheet1!$B$12:$K$12</c:f>
              <c:numCache>
                <c:formatCode>#,##0</c:formatCode>
                <c:ptCount val="10"/>
                <c:pt idx="0">
                  <c:v>23933.592441397352</c:v>
                </c:pt>
                <c:pt idx="1">
                  <c:v>23175.743720459563</c:v>
                </c:pt>
                <c:pt idx="2">
                  <c:v>22526.923679996638</c:v>
                </c:pt>
                <c:pt idx="3">
                  <c:v>21986.795893207007</c:v>
                </c:pt>
                <c:pt idx="4">
                  <c:v>21457.612680352493</c:v>
                </c:pt>
                <c:pt idx="5">
                  <c:v>20940.175444484055</c:v>
                </c:pt>
                <c:pt idx="6">
                  <c:v>20433.833336525466</c:v>
                </c:pt>
                <c:pt idx="7">
                  <c:v>19938.034013112123</c:v>
                </c:pt>
                <c:pt idx="8">
                  <c:v>19453.053103652786</c:v>
                </c:pt>
                <c:pt idx="9">
                  <c:v>18978.563163214851</c:v>
                </c:pt>
              </c:numCache>
            </c:numRef>
          </c:val>
          <c:extLst>
            <c:ext xmlns:c16="http://schemas.microsoft.com/office/drawing/2014/chart" uri="{C3380CC4-5D6E-409C-BE32-E72D297353CC}">
              <c16:uniqueId val="{00000000-A60C-490A-BFB6-57D929CA17AA}"/>
            </c:ext>
          </c:extLst>
        </c:ser>
        <c:ser>
          <c:idx val="1"/>
          <c:order val="1"/>
          <c:tx>
            <c:strRef>
              <c:f>Sheet1!$A$13</c:f>
              <c:strCache>
                <c:ptCount val="1"/>
                <c:pt idx="0">
                  <c:v>Workforce Gap</c:v>
                </c:pt>
              </c:strCache>
            </c:strRef>
          </c:tx>
          <c:spPr>
            <a:solidFill>
              <a:srgbClr val="EE0000"/>
            </a:solidFill>
            <a:ln>
              <a:noFill/>
            </a:ln>
            <a:effectLst/>
          </c:spPr>
          <c:invertIfNegative val="0"/>
          <c:dLbls>
            <c:dLbl>
              <c:idx val="0"/>
              <c:layout>
                <c:manualLayout>
                  <c:x val="0"/>
                  <c:y val="-0.12563323201621082"/>
                </c:manualLayout>
              </c:layout>
              <c:tx>
                <c:rich>
                  <a:bodyPr/>
                  <a:lstStyle/>
                  <a:p>
                    <a:r>
                      <a:rPr lang="en-US"/>
                      <a:t>6,000</a:t>
                    </a:r>
                  </a:p>
                  <a:p>
                    <a:r>
                      <a:rPr lang="en-US"/>
                      <a:t>(20%)</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C-A60C-490A-BFB6-57D929CA17AA}"/>
                </c:ext>
              </c:extLst>
            </c:dLbl>
            <c:dLbl>
              <c:idx val="1"/>
              <c:layout>
                <c:manualLayout>
                  <c:x val="-4.0515185740439311E-17"/>
                  <c:y val="-0.14994934143870323"/>
                </c:manualLayout>
              </c:layout>
              <c:tx>
                <c:rich>
                  <a:bodyPr/>
                  <a:lstStyle/>
                  <a:p>
                    <a:r>
                      <a:rPr lang="en-US"/>
                      <a:t>11,000</a:t>
                    </a:r>
                  </a:p>
                  <a:p>
                    <a:r>
                      <a:rPr lang="en-US"/>
                      <a:t>(32%)</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D-A60C-490A-BFB6-57D929CA17AA}"/>
                </c:ext>
              </c:extLst>
            </c:dLbl>
            <c:dLbl>
              <c:idx val="2"/>
              <c:tx>
                <c:rich>
                  <a:bodyPr/>
                  <a:lstStyle/>
                  <a:p>
                    <a:r>
                      <a:rPr lang="en-US"/>
                      <a:t>17,400</a:t>
                    </a:r>
                  </a:p>
                  <a:p>
                    <a:r>
                      <a:rPr lang="en-US"/>
                      <a:t>(44%)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E-A60C-490A-BFB6-57D929CA17AA}"/>
                </c:ext>
              </c:extLst>
            </c:dLbl>
            <c:dLbl>
              <c:idx val="3"/>
              <c:tx>
                <c:rich>
                  <a:bodyPr/>
                  <a:lstStyle/>
                  <a:p>
                    <a:r>
                      <a:rPr lang="en-US"/>
                      <a:t>25,500</a:t>
                    </a:r>
                  </a:p>
                  <a:p>
                    <a:r>
                      <a:rPr lang="en-US"/>
                      <a:t>(54%)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F-A60C-490A-BFB6-57D929CA17AA}"/>
                </c:ext>
              </c:extLst>
            </c:dLbl>
            <c:dLbl>
              <c:idx val="4"/>
              <c:tx>
                <c:rich>
                  <a:bodyPr/>
                  <a:lstStyle/>
                  <a:p>
                    <a:r>
                      <a:rPr lang="en-US"/>
                      <a:t>35,400</a:t>
                    </a:r>
                  </a:p>
                  <a:p>
                    <a:r>
                      <a:rPr lang="en-US"/>
                      <a:t>(62%)</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0-A60C-490A-BFB6-57D929CA17AA}"/>
                </c:ext>
              </c:extLst>
            </c:dLbl>
            <c:dLbl>
              <c:idx val="5"/>
              <c:tx>
                <c:rich>
                  <a:bodyPr/>
                  <a:lstStyle/>
                  <a:p>
                    <a:r>
                      <a:rPr lang="en-US"/>
                      <a:t>46,700</a:t>
                    </a:r>
                  </a:p>
                  <a:p>
                    <a:r>
                      <a:rPr lang="en-US"/>
                      <a:t>(69%)</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1-A60C-490A-BFB6-57D929CA17AA}"/>
                </c:ext>
              </c:extLst>
            </c:dLbl>
            <c:dLbl>
              <c:idx val="6"/>
              <c:tx>
                <c:rich>
                  <a:bodyPr/>
                  <a:lstStyle/>
                  <a:p>
                    <a:r>
                      <a:rPr lang="en-US"/>
                      <a:t>58,500</a:t>
                    </a:r>
                  </a:p>
                  <a:p>
                    <a:r>
                      <a:rPr lang="en-US"/>
                      <a:t>(74%)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2-A60C-490A-BFB6-57D929CA17AA}"/>
                </c:ext>
              </c:extLst>
            </c:dLbl>
            <c:dLbl>
              <c:idx val="7"/>
              <c:tx>
                <c:rich>
                  <a:bodyPr/>
                  <a:lstStyle/>
                  <a:p>
                    <a:r>
                      <a:rPr lang="en-US"/>
                      <a:t>68,400</a:t>
                    </a:r>
                  </a:p>
                  <a:p>
                    <a:r>
                      <a:rPr lang="en-US"/>
                      <a:t>(77%)</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3-A60C-490A-BFB6-57D929CA17AA}"/>
                </c:ext>
              </c:extLst>
            </c:dLbl>
            <c:dLbl>
              <c:idx val="8"/>
              <c:tx>
                <c:rich>
                  <a:bodyPr/>
                  <a:lstStyle/>
                  <a:p>
                    <a:r>
                      <a:rPr lang="en-US"/>
                      <a:t>74,300</a:t>
                    </a:r>
                  </a:p>
                  <a:p>
                    <a:r>
                      <a:rPr lang="en-US"/>
                      <a:t>(79%)</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4-A60C-490A-BFB6-57D929CA17AA}"/>
                </c:ext>
              </c:extLst>
            </c:dLbl>
            <c:dLbl>
              <c:idx val="9"/>
              <c:tx>
                <c:rich>
                  <a:bodyPr/>
                  <a:lstStyle/>
                  <a:p>
                    <a:r>
                      <a:rPr lang="en-US"/>
                      <a:t>74,400</a:t>
                    </a:r>
                  </a:p>
                  <a:p>
                    <a:r>
                      <a:rPr lang="en-US"/>
                      <a:t>(80%)</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5-A60C-490A-BFB6-57D929CA17AA}"/>
                </c:ext>
              </c:extLst>
            </c:dLbl>
            <c:spPr>
              <a:solidFill>
                <a:srgbClr val="EE0000"/>
              </a:solid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Sheet1!$B$10:$K$10</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Sheet1!$B$13:$K$13</c:f>
              <c:numCache>
                <c:formatCode>#,##0</c:formatCode>
                <c:ptCount val="10"/>
                <c:pt idx="0">
                  <c:v>5997.2013763988743</c:v>
                </c:pt>
                <c:pt idx="1">
                  <c:v>11025.446171939913</c:v>
                </c:pt>
                <c:pt idx="2">
                  <c:v>17437.275636057671</c:v>
                </c:pt>
                <c:pt idx="3">
                  <c:v>25528.991768140699</c:v>
                </c:pt>
                <c:pt idx="4">
                  <c:v>35433.403611423797</c:v>
                </c:pt>
                <c:pt idx="5">
                  <c:v>46734.384917805219</c:v>
                </c:pt>
                <c:pt idx="6">
                  <c:v>58459.010943438007</c:v>
                </c:pt>
                <c:pt idx="7">
                  <c:v>68407.279433823292</c:v>
                </c:pt>
                <c:pt idx="8">
                  <c:v>74325.10955655099</c:v>
                </c:pt>
                <c:pt idx="9">
                  <c:v>74417.233106813088</c:v>
                </c:pt>
              </c:numCache>
            </c:numRef>
          </c:val>
          <c:extLst>
            <c:ext xmlns:c16="http://schemas.microsoft.com/office/drawing/2014/chart" uri="{C3380CC4-5D6E-409C-BE32-E72D297353CC}">
              <c16:uniqueId val="{00000001-A60C-490A-BFB6-57D929CA17AA}"/>
            </c:ext>
          </c:extLst>
        </c:ser>
        <c:dLbls>
          <c:showLegendKey val="0"/>
          <c:showVal val="0"/>
          <c:showCatName val="0"/>
          <c:showSerName val="0"/>
          <c:showPercent val="0"/>
          <c:showBubbleSize val="0"/>
        </c:dLbls>
        <c:gapWidth val="150"/>
        <c:overlap val="100"/>
        <c:axId val="781947464"/>
        <c:axId val="781955384"/>
      </c:barChart>
      <c:catAx>
        <c:axId val="7819474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crossAx val="781955384"/>
        <c:crosses val="autoZero"/>
        <c:auto val="1"/>
        <c:lblAlgn val="ctr"/>
        <c:lblOffset val="100"/>
        <c:noMultiLvlLbl val="0"/>
      </c:catAx>
      <c:valAx>
        <c:axId val="78195538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crossAx val="781947464"/>
        <c:crosses val="autoZero"/>
        <c:crossBetween val="between"/>
        <c:majorUnit val="20000"/>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900">
          <a:latin typeface="Helvetica Neue LT Std 65 Medium"/>
        </a:defRPr>
      </a:pPr>
      <a:endParaRPr lang="en-US"/>
    </a:p>
  </c:txPr>
  <c:externalData r:id="rId3">
    <c:autoUpdate val="0"/>
  </c:externalData>
  <c:userShapes r:id="rId4"/>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'Workforce Gap'!$A$20</c:f>
              <c:strCache>
                <c:ptCount val="1"/>
                <c:pt idx="0">
                  <c:v>Labour Supply</c:v>
                </c:pt>
              </c:strCache>
            </c:strRef>
          </c:tx>
          <c:spPr>
            <a:solidFill>
              <a:schemeClr val="accent1"/>
            </a:solidFill>
            <a:ln>
              <a:noFill/>
            </a:ln>
            <a:effectLst/>
          </c:spPr>
          <c:invertIfNegative val="0"/>
          <c:dLbls>
            <c:dLbl>
              <c:idx val="0"/>
              <c:tx>
                <c:rich>
                  <a:bodyPr/>
                  <a:lstStyle/>
                  <a:p>
                    <a:r>
                      <a:rPr lang="en-US"/>
                      <a:t>23,900</a:t>
                    </a:r>
                  </a:p>
                  <a:p>
                    <a:r>
                      <a:rPr lang="en-US"/>
                      <a:t>(98%)</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F798-4C3A-AFD1-09501555416D}"/>
                </c:ext>
              </c:extLst>
            </c:dLbl>
            <c:dLbl>
              <c:idx val="1"/>
              <c:tx>
                <c:rich>
                  <a:bodyPr/>
                  <a:lstStyle/>
                  <a:p>
                    <a:r>
                      <a:rPr lang="en-US"/>
                      <a:t>23,200</a:t>
                    </a:r>
                  </a:p>
                  <a:p>
                    <a:r>
                      <a:rPr lang="en-US"/>
                      <a:t>(96%)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F798-4C3A-AFD1-09501555416D}"/>
                </c:ext>
              </c:extLst>
            </c:dLbl>
            <c:dLbl>
              <c:idx val="2"/>
              <c:tx>
                <c:rich>
                  <a:bodyPr/>
                  <a:lstStyle/>
                  <a:p>
                    <a:r>
                      <a:rPr lang="en-US"/>
                      <a:t>22,500</a:t>
                    </a:r>
                  </a:p>
                  <a:p>
                    <a:r>
                      <a:rPr lang="en-US"/>
                      <a:t>(88%)</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F798-4C3A-AFD1-09501555416D}"/>
                </c:ext>
              </c:extLst>
            </c:dLbl>
            <c:dLbl>
              <c:idx val="3"/>
              <c:tx>
                <c:rich>
                  <a:bodyPr/>
                  <a:lstStyle/>
                  <a:p>
                    <a:r>
                      <a:rPr lang="en-US"/>
                      <a:t>22,000</a:t>
                    </a:r>
                  </a:p>
                  <a:p>
                    <a:r>
                      <a:rPr lang="en-US"/>
                      <a:t>(81%)</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F798-4C3A-AFD1-09501555416D}"/>
                </c:ext>
              </c:extLst>
            </c:dLbl>
            <c:dLbl>
              <c:idx val="4"/>
              <c:tx>
                <c:rich>
                  <a:bodyPr/>
                  <a:lstStyle/>
                  <a:p>
                    <a:r>
                      <a:rPr lang="en-US"/>
                      <a:t>21,500</a:t>
                    </a:r>
                  </a:p>
                  <a:p>
                    <a:r>
                      <a:rPr lang="en-US"/>
                      <a:t>(76%)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F798-4C3A-AFD1-09501555416D}"/>
                </c:ext>
              </c:extLst>
            </c:dLbl>
            <c:dLbl>
              <c:idx val="5"/>
              <c:tx>
                <c:rich>
                  <a:bodyPr/>
                  <a:lstStyle/>
                  <a:p>
                    <a:r>
                      <a:rPr lang="en-US"/>
                      <a:t>20,900</a:t>
                    </a:r>
                  </a:p>
                  <a:p>
                    <a:r>
                      <a:rPr lang="en-US"/>
                      <a:t>(74%)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F798-4C3A-AFD1-09501555416D}"/>
                </c:ext>
              </c:extLst>
            </c:dLbl>
            <c:dLbl>
              <c:idx val="6"/>
              <c:tx>
                <c:rich>
                  <a:bodyPr/>
                  <a:lstStyle/>
                  <a:p>
                    <a:r>
                      <a:rPr lang="en-US"/>
                      <a:t>20,400</a:t>
                    </a:r>
                  </a:p>
                  <a:p>
                    <a:r>
                      <a:rPr lang="en-US"/>
                      <a:t>(74%)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F798-4C3A-AFD1-09501555416D}"/>
                </c:ext>
              </c:extLst>
            </c:dLbl>
            <c:dLbl>
              <c:idx val="7"/>
              <c:tx>
                <c:rich>
                  <a:bodyPr/>
                  <a:lstStyle/>
                  <a:p>
                    <a:r>
                      <a:rPr lang="en-US"/>
                      <a:t>19,900</a:t>
                    </a:r>
                  </a:p>
                  <a:p>
                    <a:r>
                      <a:rPr lang="en-US"/>
                      <a:t>(76%)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F798-4C3A-AFD1-09501555416D}"/>
                </c:ext>
              </c:extLst>
            </c:dLbl>
            <c:dLbl>
              <c:idx val="8"/>
              <c:tx>
                <c:rich>
                  <a:bodyPr/>
                  <a:lstStyle/>
                  <a:p>
                    <a:r>
                      <a:rPr lang="en-US"/>
                      <a:t>19,500</a:t>
                    </a:r>
                  </a:p>
                  <a:p>
                    <a:r>
                      <a:rPr lang="en-US"/>
                      <a:t>(81%)</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A-F798-4C3A-AFD1-09501555416D}"/>
                </c:ext>
              </c:extLst>
            </c:dLbl>
            <c:dLbl>
              <c:idx val="9"/>
              <c:tx>
                <c:rich>
                  <a:bodyPr/>
                  <a:lstStyle/>
                  <a:p>
                    <a:r>
                      <a:rPr lang="en-US"/>
                      <a:t>19,000</a:t>
                    </a:r>
                  </a:p>
                  <a:p>
                    <a:r>
                      <a:rPr lang="en-US"/>
                      <a:t>(88%)</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B-F798-4C3A-AFD1-09501555416D}"/>
                </c:ext>
              </c:extLst>
            </c:dLbl>
            <c:spPr>
              <a:solidFill>
                <a:schemeClr val="tx2"/>
              </a:solid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'Workforce Gap'!$B$10:$K$10</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'Workforce Gap'!$B$20:$K$20</c:f>
              <c:numCache>
                <c:formatCode>#,##0</c:formatCode>
                <c:ptCount val="10"/>
                <c:pt idx="0">
                  <c:v>23933.592441397352</c:v>
                </c:pt>
                <c:pt idx="1">
                  <c:v>23175.743720459563</c:v>
                </c:pt>
                <c:pt idx="2">
                  <c:v>22526.923679996638</c:v>
                </c:pt>
                <c:pt idx="3">
                  <c:v>21986.795893207007</c:v>
                </c:pt>
                <c:pt idx="4">
                  <c:v>21457.612680352493</c:v>
                </c:pt>
                <c:pt idx="5">
                  <c:v>20940.175444484055</c:v>
                </c:pt>
                <c:pt idx="6">
                  <c:v>20433.833336525466</c:v>
                </c:pt>
                <c:pt idx="7">
                  <c:v>19938.034013112123</c:v>
                </c:pt>
                <c:pt idx="8">
                  <c:v>19453.053103652786</c:v>
                </c:pt>
                <c:pt idx="9">
                  <c:v>18978.563163214851</c:v>
                </c:pt>
              </c:numCache>
            </c:numRef>
          </c:val>
          <c:extLst>
            <c:ext xmlns:c16="http://schemas.microsoft.com/office/drawing/2014/chart" uri="{C3380CC4-5D6E-409C-BE32-E72D297353CC}">
              <c16:uniqueId val="{00000000-F798-4C3A-AFD1-09501555416D}"/>
            </c:ext>
          </c:extLst>
        </c:ser>
        <c:ser>
          <c:idx val="1"/>
          <c:order val="1"/>
          <c:tx>
            <c:strRef>
              <c:f>'Workforce Gap'!$A$21</c:f>
              <c:strCache>
                <c:ptCount val="1"/>
                <c:pt idx="0">
                  <c:v>Workforce Gap</c:v>
                </c:pt>
              </c:strCache>
            </c:strRef>
          </c:tx>
          <c:spPr>
            <a:solidFill>
              <a:srgbClr val="EE0000"/>
            </a:solidFill>
            <a:ln>
              <a:noFill/>
            </a:ln>
            <a:effectLst/>
          </c:spPr>
          <c:invertIfNegative val="0"/>
          <c:dPt>
            <c:idx val="0"/>
            <c:invertIfNegative val="0"/>
            <c:bubble3D val="0"/>
            <c:spPr>
              <a:solidFill>
                <a:srgbClr val="EE0000"/>
              </a:solidFill>
              <a:ln>
                <a:noFill/>
              </a:ln>
              <a:effectLst/>
            </c:spPr>
            <c:extLst>
              <c:ext xmlns:c16="http://schemas.microsoft.com/office/drawing/2014/chart" uri="{C3380CC4-5D6E-409C-BE32-E72D297353CC}">
                <c16:uniqueId val="{0000000C-F798-4C3A-AFD1-09501555416D}"/>
              </c:ext>
            </c:extLst>
          </c:dPt>
          <c:dPt>
            <c:idx val="1"/>
            <c:invertIfNegative val="0"/>
            <c:bubble3D val="0"/>
            <c:spPr>
              <a:solidFill>
                <a:srgbClr val="EE0000"/>
              </a:solidFill>
              <a:ln>
                <a:noFill/>
              </a:ln>
              <a:effectLst/>
            </c:spPr>
            <c:extLst>
              <c:ext xmlns:c16="http://schemas.microsoft.com/office/drawing/2014/chart" uri="{C3380CC4-5D6E-409C-BE32-E72D297353CC}">
                <c16:uniqueId val="{0000000D-F798-4C3A-AFD1-09501555416D}"/>
              </c:ext>
            </c:extLst>
          </c:dPt>
          <c:dPt>
            <c:idx val="2"/>
            <c:invertIfNegative val="0"/>
            <c:bubble3D val="0"/>
            <c:spPr>
              <a:solidFill>
                <a:srgbClr val="EE0000"/>
              </a:solidFill>
              <a:ln>
                <a:noFill/>
              </a:ln>
              <a:effectLst/>
            </c:spPr>
            <c:extLst>
              <c:ext xmlns:c16="http://schemas.microsoft.com/office/drawing/2014/chart" uri="{C3380CC4-5D6E-409C-BE32-E72D297353CC}">
                <c16:uniqueId val="{0000000E-F798-4C3A-AFD1-09501555416D}"/>
              </c:ext>
            </c:extLst>
          </c:dPt>
          <c:dPt>
            <c:idx val="3"/>
            <c:invertIfNegative val="0"/>
            <c:bubble3D val="0"/>
            <c:spPr>
              <a:solidFill>
                <a:srgbClr val="EE0000"/>
              </a:solidFill>
              <a:ln>
                <a:noFill/>
              </a:ln>
              <a:effectLst/>
            </c:spPr>
            <c:extLst>
              <c:ext xmlns:c16="http://schemas.microsoft.com/office/drawing/2014/chart" uri="{C3380CC4-5D6E-409C-BE32-E72D297353CC}">
                <c16:uniqueId val="{0000000F-F798-4C3A-AFD1-09501555416D}"/>
              </c:ext>
            </c:extLst>
          </c:dPt>
          <c:dPt>
            <c:idx val="4"/>
            <c:invertIfNegative val="0"/>
            <c:bubble3D val="0"/>
            <c:spPr>
              <a:solidFill>
                <a:srgbClr val="EE0000"/>
              </a:solidFill>
              <a:ln>
                <a:noFill/>
              </a:ln>
              <a:effectLst/>
            </c:spPr>
            <c:extLst>
              <c:ext xmlns:c16="http://schemas.microsoft.com/office/drawing/2014/chart" uri="{C3380CC4-5D6E-409C-BE32-E72D297353CC}">
                <c16:uniqueId val="{00000010-F798-4C3A-AFD1-09501555416D}"/>
              </c:ext>
            </c:extLst>
          </c:dPt>
          <c:dPt>
            <c:idx val="5"/>
            <c:invertIfNegative val="0"/>
            <c:bubble3D val="0"/>
            <c:spPr>
              <a:solidFill>
                <a:srgbClr val="EE0000"/>
              </a:solidFill>
              <a:ln>
                <a:noFill/>
              </a:ln>
              <a:effectLst/>
            </c:spPr>
            <c:extLst>
              <c:ext xmlns:c16="http://schemas.microsoft.com/office/drawing/2014/chart" uri="{C3380CC4-5D6E-409C-BE32-E72D297353CC}">
                <c16:uniqueId val="{00000011-F798-4C3A-AFD1-09501555416D}"/>
              </c:ext>
            </c:extLst>
          </c:dPt>
          <c:dPt>
            <c:idx val="6"/>
            <c:invertIfNegative val="0"/>
            <c:bubble3D val="0"/>
            <c:spPr>
              <a:solidFill>
                <a:srgbClr val="EE0000"/>
              </a:solidFill>
              <a:ln>
                <a:noFill/>
              </a:ln>
              <a:effectLst/>
            </c:spPr>
            <c:extLst>
              <c:ext xmlns:c16="http://schemas.microsoft.com/office/drawing/2014/chart" uri="{C3380CC4-5D6E-409C-BE32-E72D297353CC}">
                <c16:uniqueId val="{00000012-F798-4C3A-AFD1-09501555416D}"/>
              </c:ext>
            </c:extLst>
          </c:dPt>
          <c:dPt>
            <c:idx val="7"/>
            <c:invertIfNegative val="0"/>
            <c:bubble3D val="0"/>
            <c:spPr>
              <a:solidFill>
                <a:srgbClr val="EE0000"/>
              </a:solidFill>
              <a:ln>
                <a:noFill/>
              </a:ln>
              <a:effectLst/>
            </c:spPr>
            <c:extLst>
              <c:ext xmlns:c16="http://schemas.microsoft.com/office/drawing/2014/chart" uri="{C3380CC4-5D6E-409C-BE32-E72D297353CC}">
                <c16:uniqueId val="{00000013-F798-4C3A-AFD1-09501555416D}"/>
              </c:ext>
            </c:extLst>
          </c:dPt>
          <c:dPt>
            <c:idx val="8"/>
            <c:invertIfNegative val="0"/>
            <c:bubble3D val="0"/>
            <c:spPr>
              <a:solidFill>
                <a:srgbClr val="EE0000"/>
              </a:solidFill>
              <a:ln>
                <a:noFill/>
              </a:ln>
              <a:effectLst/>
            </c:spPr>
            <c:extLst>
              <c:ext xmlns:c16="http://schemas.microsoft.com/office/drawing/2014/chart" uri="{C3380CC4-5D6E-409C-BE32-E72D297353CC}">
                <c16:uniqueId val="{00000014-F798-4C3A-AFD1-09501555416D}"/>
              </c:ext>
            </c:extLst>
          </c:dPt>
          <c:dPt>
            <c:idx val="9"/>
            <c:invertIfNegative val="0"/>
            <c:bubble3D val="0"/>
            <c:spPr>
              <a:solidFill>
                <a:srgbClr val="EE0000"/>
              </a:solidFill>
              <a:ln>
                <a:noFill/>
              </a:ln>
              <a:effectLst/>
            </c:spPr>
            <c:extLst>
              <c:ext xmlns:c16="http://schemas.microsoft.com/office/drawing/2014/chart" uri="{C3380CC4-5D6E-409C-BE32-E72D297353CC}">
                <c16:uniqueId val="{00000015-F798-4C3A-AFD1-09501555416D}"/>
              </c:ext>
            </c:extLst>
          </c:dPt>
          <c:dLbls>
            <c:dLbl>
              <c:idx val="0"/>
              <c:layout>
                <c:manualLayout>
                  <c:x val="0"/>
                  <c:y val="-6.7200616163412691E-2"/>
                </c:manualLayout>
              </c:layout>
              <c:tx>
                <c:rich>
                  <a:bodyPr/>
                  <a:lstStyle/>
                  <a:p>
                    <a:r>
                      <a:rPr lang="en-US">
                        <a:solidFill>
                          <a:schemeClr val="bg1"/>
                        </a:solidFill>
                      </a:rPr>
                      <a:t>500</a:t>
                    </a:r>
                  </a:p>
                  <a:p>
                    <a:r>
                      <a:rPr lang="en-US">
                        <a:solidFill>
                          <a:schemeClr val="bg1"/>
                        </a:solidFill>
                      </a:rPr>
                      <a:t>(2%)</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C-F798-4C3A-AFD1-09501555416D}"/>
                </c:ext>
              </c:extLst>
            </c:dLbl>
            <c:dLbl>
              <c:idx val="1"/>
              <c:layout>
                <c:manualLayout>
                  <c:x val="0"/>
                  <c:y val="-0.1008021001294943"/>
                </c:manualLayout>
              </c:layout>
              <c:tx>
                <c:rich>
                  <a:bodyPr/>
                  <a:lstStyle/>
                  <a:p>
                    <a:r>
                      <a:rPr lang="en-US">
                        <a:solidFill>
                          <a:schemeClr val="bg1"/>
                        </a:solidFill>
                      </a:rPr>
                      <a:t>1,000</a:t>
                    </a:r>
                  </a:p>
                  <a:p>
                    <a:r>
                      <a:rPr lang="en-US">
                        <a:solidFill>
                          <a:schemeClr val="bg1"/>
                        </a:solidFill>
                      </a:rPr>
                      <a:t>(4%)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D-F798-4C3A-AFD1-09501555416D}"/>
                </c:ext>
              </c:extLst>
            </c:dLbl>
            <c:dLbl>
              <c:idx val="2"/>
              <c:layout>
                <c:manualLayout>
                  <c:x val="2.2099447513812156E-3"/>
                  <c:y val="-0.12693671831248834"/>
                </c:manualLayout>
              </c:layout>
              <c:tx>
                <c:rich>
                  <a:bodyPr/>
                  <a:lstStyle/>
                  <a:p>
                    <a:r>
                      <a:rPr lang="en-US"/>
                      <a:t>3,200</a:t>
                    </a:r>
                  </a:p>
                  <a:p>
                    <a:r>
                      <a:rPr lang="en-US"/>
                      <a:t>(12%)</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E-F798-4C3A-AFD1-09501555416D}"/>
                </c:ext>
              </c:extLst>
            </c:dLbl>
            <c:dLbl>
              <c:idx val="3"/>
              <c:layout>
                <c:manualLayout>
                  <c:x val="0"/>
                  <c:y val="-0.15680418144483854"/>
                </c:manualLayout>
              </c:layout>
              <c:tx>
                <c:rich>
                  <a:bodyPr/>
                  <a:lstStyle/>
                  <a:p>
                    <a:r>
                      <a:rPr lang="en-US"/>
                      <a:t>5,100</a:t>
                    </a:r>
                  </a:p>
                  <a:p>
                    <a:r>
                      <a:rPr lang="en-US"/>
                      <a:t>(19%)</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F-F798-4C3A-AFD1-09501555416D}"/>
                </c:ext>
              </c:extLst>
            </c:dLbl>
            <c:dLbl>
              <c:idx val="4"/>
              <c:layout>
                <c:manualLayout>
                  <c:x val="0"/>
                  <c:y val="-0.1904050774687325"/>
                </c:manualLayout>
              </c:layout>
              <c:tx>
                <c:rich>
                  <a:bodyPr/>
                  <a:lstStyle/>
                  <a:p>
                    <a:r>
                      <a:rPr lang="en-US"/>
                      <a:t>6,700</a:t>
                    </a:r>
                  </a:p>
                  <a:p>
                    <a:r>
                      <a:rPr lang="en-US"/>
                      <a:t>(24%)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0-F798-4C3A-AFD1-09501555416D}"/>
                </c:ext>
              </c:extLst>
            </c:dLbl>
            <c:dLbl>
              <c:idx val="5"/>
              <c:layout>
                <c:manualLayout>
                  <c:x val="-2.2099447513812156E-3"/>
                  <c:y val="-0.2202725406010827"/>
                </c:manualLayout>
              </c:layout>
              <c:tx>
                <c:rich>
                  <a:bodyPr/>
                  <a:lstStyle/>
                  <a:p>
                    <a:r>
                      <a:rPr lang="en-US"/>
                      <a:t>7,400</a:t>
                    </a:r>
                  </a:p>
                  <a:p>
                    <a:r>
                      <a:rPr lang="en-US"/>
                      <a:t>(26%)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1-F798-4C3A-AFD1-09501555416D}"/>
                </c:ext>
              </c:extLst>
            </c:dLbl>
            <c:dLbl>
              <c:idx val="6"/>
              <c:layout>
                <c:manualLayout>
                  <c:x val="-2.2099447513812156E-3"/>
                  <c:y val="-0.20907224192645138"/>
                </c:manualLayout>
              </c:layout>
              <c:tx>
                <c:rich>
                  <a:bodyPr/>
                  <a:lstStyle/>
                  <a:p>
                    <a:r>
                      <a:rPr lang="en-US"/>
                      <a:t>7,200</a:t>
                    </a:r>
                  </a:p>
                  <a:p>
                    <a:r>
                      <a:rPr lang="en-US"/>
                      <a:t>(26%)</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2-F798-4C3A-AFD1-09501555416D}"/>
                </c:ext>
              </c:extLst>
            </c:dLbl>
            <c:dLbl>
              <c:idx val="7"/>
              <c:layout>
                <c:manualLayout>
                  <c:x val="-2.2099447513812156E-3"/>
                  <c:y val="-0.1941385103602763"/>
                </c:manualLayout>
              </c:layout>
              <c:tx>
                <c:rich>
                  <a:bodyPr/>
                  <a:lstStyle/>
                  <a:p>
                    <a:r>
                      <a:rPr lang="en-US"/>
                      <a:t>6,200</a:t>
                    </a:r>
                  </a:p>
                  <a:p>
                    <a:r>
                      <a:rPr lang="en-US"/>
                      <a:t>(24%)</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3-F798-4C3A-AFD1-09501555416D}"/>
                </c:ext>
              </c:extLst>
            </c:dLbl>
            <c:dLbl>
              <c:idx val="8"/>
              <c:layout>
                <c:manualLayout>
                  <c:x val="2.2099447513812156E-3"/>
                  <c:y val="-0.17547134590255739"/>
                </c:manualLayout>
              </c:layout>
              <c:tx>
                <c:rich>
                  <a:bodyPr/>
                  <a:lstStyle/>
                  <a:p>
                    <a:r>
                      <a:rPr lang="en-US">
                        <a:solidFill>
                          <a:schemeClr val="bg1"/>
                        </a:solidFill>
                      </a:rPr>
                      <a:t>4,500</a:t>
                    </a:r>
                  </a:p>
                  <a:p>
                    <a:r>
                      <a:rPr lang="en-US">
                        <a:solidFill>
                          <a:schemeClr val="bg1"/>
                        </a:solidFill>
                      </a:rPr>
                      <a:t>(19%)</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4-F798-4C3A-AFD1-09501555416D}"/>
                </c:ext>
              </c:extLst>
            </c:dLbl>
            <c:dLbl>
              <c:idx val="9"/>
              <c:layout>
                <c:manualLayout>
                  <c:x val="0"/>
                  <c:y val="-0.1792038968808197"/>
                </c:manualLayout>
              </c:layout>
              <c:tx>
                <c:rich>
                  <a:bodyPr/>
                  <a:lstStyle/>
                  <a:p>
                    <a:r>
                      <a:rPr lang="en-US">
                        <a:solidFill>
                          <a:schemeClr val="bg1"/>
                        </a:solidFill>
                      </a:rPr>
                      <a:t>2,500</a:t>
                    </a:r>
                  </a:p>
                  <a:p>
                    <a:r>
                      <a:rPr lang="en-US">
                        <a:solidFill>
                          <a:schemeClr val="bg1"/>
                        </a:solidFill>
                      </a:rPr>
                      <a:t>(12%)</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15-F798-4C3A-AFD1-09501555416D}"/>
                </c:ext>
              </c:extLst>
            </c:dLbl>
            <c:spPr>
              <a:solidFill>
                <a:srgbClr val="EE0000"/>
              </a:solid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bg1"/>
                    </a:solidFill>
                    <a:latin typeface="Helvetica Neue LT Std 65 Medium"/>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'Workforce Gap'!$B$10:$K$10</c:f>
              <c:strCache>
                <c:ptCount val="10"/>
                <c:pt idx="0">
                  <c:v>2025/26</c:v>
                </c:pt>
                <c:pt idx="1">
                  <c:v>2026/27</c:v>
                </c:pt>
                <c:pt idx="2">
                  <c:v>2027/28</c:v>
                </c:pt>
                <c:pt idx="3">
                  <c:v>2028/29</c:v>
                </c:pt>
                <c:pt idx="4">
                  <c:v>2029/30</c:v>
                </c:pt>
                <c:pt idx="5">
                  <c:v>2030/31</c:v>
                </c:pt>
                <c:pt idx="6">
                  <c:v>2031/32</c:v>
                </c:pt>
                <c:pt idx="7">
                  <c:v>2032/33</c:v>
                </c:pt>
                <c:pt idx="8">
                  <c:v>2033/34</c:v>
                </c:pt>
                <c:pt idx="9">
                  <c:v>2034/35</c:v>
                </c:pt>
              </c:strCache>
            </c:strRef>
          </c:cat>
          <c:val>
            <c:numRef>
              <c:f>'Workforce Gap'!$B$21:$K$21</c:f>
              <c:numCache>
                <c:formatCode>#,##0</c:formatCode>
                <c:ptCount val="10"/>
                <c:pt idx="0">
                  <c:v>533.35869952288658</c:v>
                </c:pt>
                <c:pt idx="1">
                  <c:v>988.60378716414334</c:v>
                </c:pt>
                <c:pt idx="2">
                  <c:v>3183.6704086484879</c:v>
                </c:pt>
                <c:pt idx="3">
                  <c:v>5145.0647620119653</c:v>
                </c:pt>
                <c:pt idx="4">
                  <c:v>6667.3034513640432</c:v>
                </c:pt>
                <c:pt idx="5">
                  <c:v>7421.3162879948841</c:v>
                </c:pt>
                <c:pt idx="6">
                  <c:v>7230.1584594852575</c:v>
                </c:pt>
                <c:pt idx="7">
                  <c:v>6183.6755581038087</c:v>
                </c:pt>
                <c:pt idx="8">
                  <c:v>4470.3176440982716</c:v>
                </c:pt>
                <c:pt idx="9">
                  <c:v>2494.3522817843159</c:v>
                </c:pt>
              </c:numCache>
            </c:numRef>
          </c:val>
          <c:extLst>
            <c:ext xmlns:c16="http://schemas.microsoft.com/office/drawing/2014/chart" uri="{C3380CC4-5D6E-409C-BE32-E72D297353CC}">
              <c16:uniqueId val="{00000001-F798-4C3A-AFD1-09501555416D}"/>
            </c:ext>
          </c:extLst>
        </c:ser>
        <c:dLbls>
          <c:showLegendKey val="0"/>
          <c:showVal val="0"/>
          <c:showCatName val="0"/>
          <c:showSerName val="0"/>
          <c:showPercent val="0"/>
          <c:showBubbleSize val="0"/>
        </c:dLbls>
        <c:gapWidth val="150"/>
        <c:overlap val="100"/>
        <c:axId val="781947464"/>
        <c:axId val="781955384"/>
      </c:barChart>
      <c:catAx>
        <c:axId val="781947464"/>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crossAx val="781955384"/>
        <c:crosses val="autoZero"/>
        <c:auto val="1"/>
        <c:lblAlgn val="ctr"/>
        <c:lblOffset val="100"/>
        <c:noMultiLvlLbl val="0"/>
      </c:catAx>
      <c:valAx>
        <c:axId val="781955384"/>
        <c:scaling>
          <c:orientation val="minMax"/>
          <c:max val="40000"/>
          <c:min val="0"/>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crossAx val="781947464"/>
        <c:crosses val="autoZero"/>
        <c:crossBetween val="between"/>
        <c:majorUnit val="10000"/>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900">
          <a:latin typeface="Helvetica Neue LT Std 65 Medium"/>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'Completion Data - Scenario 2'!$B$1</c:f>
              <c:strCache>
                <c:ptCount val="1"/>
                <c:pt idx="0">
                  <c:v>Electrical Installation</c:v>
                </c:pt>
              </c:strCache>
            </c:strRef>
          </c:tx>
          <c:spPr>
            <a:solidFill>
              <a:schemeClr val="accent1"/>
            </a:solidFill>
            <a:ln>
              <a:noFill/>
            </a:ln>
            <a:effectLst/>
          </c:spPr>
          <c:invertIfNegative val="0"/>
          <c:cat>
            <c:strRef>
              <c:f>'Completion Data - Scenario 2'!$A$2:$A$22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2'!$B$2:$B$22</c:f>
              <c:numCache>
                <c:formatCode>0</c:formatCode>
                <c:ptCount val="21"/>
                <c:pt idx="0">
                  <c:v>299.70000000000005</c:v>
                </c:pt>
                <c:pt idx="1">
                  <c:v>420.75</c:v>
                </c:pt>
                <c:pt idx="2">
                  <c:v>307.5</c:v>
                </c:pt>
                <c:pt idx="3">
                  <c:v>295.2</c:v>
                </c:pt>
                <c:pt idx="4">
                  <c:v>311.85000000000002</c:v>
                </c:pt>
                <c:pt idx="5">
                  <c:v>386.34000000000003</c:v>
                </c:pt>
                <c:pt idx="6">
                  <c:v>345.24</c:v>
                </c:pt>
                <c:pt idx="7">
                  <c:v>296.39999999999998</c:v>
                </c:pt>
                <c:pt idx="8">
                  <c:v>224.4</c:v>
                </c:pt>
                <c:pt idx="9">
                  <c:v>333.3</c:v>
                </c:pt>
                <c:pt idx="10">
                  <c:v>370.33333333333331</c:v>
                </c:pt>
                <c:pt idx="11">
                  <c:v>407.36666666666667</c:v>
                </c:pt>
                <c:pt idx="12">
                  <c:v>292.89999999999998</c:v>
                </c:pt>
                <c:pt idx="13">
                  <c:v>248.19803503980049</c:v>
                </c:pt>
                <c:pt idx="14">
                  <c:v>247.45221011843748</c:v>
                </c:pt>
                <c:pt idx="15">
                  <c:v>247.13935927835379</c:v>
                </c:pt>
                <c:pt idx="16">
                  <c:v>247.8573224523511</c:v>
                </c:pt>
                <c:pt idx="17">
                  <c:v>249.12003396300332</c:v>
                </c:pt>
                <c:pt idx="18">
                  <c:v>250.40799970386863</c:v>
                </c:pt>
                <c:pt idx="19">
                  <c:v>251.72172475955117</c:v>
                </c:pt>
                <c:pt idx="20">
                  <c:v>253.06172431634738</c:v>
                </c:pt>
              </c:numCache>
            </c:numRef>
          </c:val>
          <c:extLst>
            <c:ext xmlns:c16="http://schemas.microsoft.com/office/drawing/2014/chart" uri="{C3380CC4-5D6E-409C-BE32-E72D297353CC}">
              <c16:uniqueId val="{00000000-95C4-4F84-AD80-69AE9678356C}"/>
            </c:ext>
          </c:extLst>
        </c:ser>
        <c:ser>
          <c:idx val="1"/>
          <c:order val="1"/>
          <c:tx>
            <c:strRef>
              <c:f>'Completion Data - Scenario 2'!$C$1</c:f>
              <c:strCache>
                <c:ptCount val="1"/>
                <c:pt idx="0">
                  <c:v>Plumbing and Heating</c:v>
                </c:pt>
              </c:strCache>
            </c:strRef>
          </c:tx>
          <c:spPr>
            <a:solidFill>
              <a:schemeClr val="accent2"/>
            </a:solidFill>
            <a:ln>
              <a:noFill/>
            </a:ln>
            <a:effectLst/>
          </c:spPr>
          <c:invertIfNegative val="0"/>
          <c:cat>
            <c:strRef>
              <c:f>'Completion Data - Scenario 2'!$A$2:$A$22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2'!$C$2:$C$22</c:f>
              <c:numCache>
                <c:formatCode>0</c:formatCode>
                <c:ptCount val="21"/>
                <c:pt idx="0">
                  <c:v>125.55000000000001</c:v>
                </c:pt>
                <c:pt idx="1">
                  <c:v>127.5</c:v>
                </c:pt>
                <c:pt idx="2">
                  <c:v>168.1</c:v>
                </c:pt>
                <c:pt idx="3">
                  <c:v>151.69999999999999</c:v>
                </c:pt>
                <c:pt idx="4">
                  <c:v>113.4</c:v>
                </c:pt>
                <c:pt idx="5">
                  <c:v>102.75000000000001</c:v>
                </c:pt>
                <c:pt idx="6">
                  <c:v>123.30000000000001</c:v>
                </c:pt>
                <c:pt idx="7">
                  <c:v>117.8</c:v>
                </c:pt>
                <c:pt idx="8">
                  <c:v>89.100000000000009</c:v>
                </c:pt>
                <c:pt idx="9">
                  <c:v>62.7</c:v>
                </c:pt>
                <c:pt idx="10">
                  <c:v>212.1</c:v>
                </c:pt>
                <c:pt idx="11">
                  <c:v>228.93333333333334</c:v>
                </c:pt>
                <c:pt idx="12">
                  <c:v>138.03333333333333</c:v>
                </c:pt>
                <c:pt idx="13">
                  <c:v>100.1748954339176</c:v>
                </c:pt>
                <c:pt idx="14">
                  <c:v>99.873873979426335</c:v>
                </c:pt>
                <c:pt idx="15">
                  <c:v>99.747604647008899</c:v>
                </c:pt>
                <c:pt idx="16">
                  <c:v>100.03738085683688</c:v>
                </c:pt>
                <c:pt idx="17">
                  <c:v>100.54702225477342</c:v>
                </c:pt>
                <c:pt idx="18">
                  <c:v>101.06685648066872</c:v>
                </c:pt>
                <c:pt idx="19">
                  <c:v>101.5970873910819</c:v>
                </c:pt>
                <c:pt idx="20">
                  <c:v>102.13792291970336</c:v>
                </c:pt>
              </c:numCache>
            </c:numRef>
          </c:val>
          <c:extLst>
            <c:ext xmlns:c16="http://schemas.microsoft.com/office/drawing/2014/chart" uri="{C3380CC4-5D6E-409C-BE32-E72D297353CC}">
              <c16:uniqueId val="{00000001-95C4-4F84-AD80-69AE9678356C}"/>
            </c:ext>
          </c:extLst>
        </c:ser>
        <c:ser>
          <c:idx val="2"/>
          <c:order val="2"/>
          <c:tx>
            <c:strRef>
              <c:f>'Completion Data - Scenario 2'!$D$1</c:f>
              <c:strCache>
                <c:ptCount val="1"/>
                <c:pt idx="0">
                  <c:v>Heating and Ventilation</c:v>
                </c:pt>
              </c:strCache>
            </c:strRef>
          </c:tx>
          <c:spPr>
            <a:solidFill>
              <a:schemeClr val="accent3"/>
            </a:solidFill>
            <a:ln>
              <a:noFill/>
            </a:ln>
            <a:effectLst/>
          </c:spPr>
          <c:invertIfNegative val="0"/>
          <c:cat>
            <c:strRef>
              <c:f>'Completion Data - Scenario 2'!$A$2:$A$22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2'!$D$2:$D$22</c:f>
              <c:numCache>
                <c:formatCode>0</c:formatCode>
                <c:ptCount val="21"/>
                <c:pt idx="0">
                  <c:v>12.15</c:v>
                </c:pt>
                <c:pt idx="1">
                  <c:v>8.5</c:v>
                </c:pt>
                <c:pt idx="2">
                  <c:v>0</c:v>
                </c:pt>
                <c:pt idx="3">
                  <c:v>12.299999999999999</c:v>
                </c:pt>
                <c:pt idx="4">
                  <c:v>4.0500000000000007</c:v>
                </c:pt>
                <c:pt idx="5">
                  <c:v>12.330000000000002</c:v>
                </c:pt>
                <c:pt idx="6">
                  <c:v>8.2200000000000006</c:v>
                </c:pt>
                <c:pt idx="7">
                  <c:v>11.4</c:v>
                </c:pt>
                <c:pt idx="8">
                  <c:v>8.1000000000000014</c:v>
                </c:pt>
                <c:pt idx="9">
                  <c:v>9.9</c:v>
                </c:pt>
                <c:pt idx="10">
                  <c:v>0</c:v>
                </c:pt>
                <c:pt idx="11">
                  <c:v>0</c:v>
                </c:pt>
                <c:pt idx="12">
                  <c:v>10.1</c:v>
                </c:pt>
                <c:pt idx="13">
                  <c:v>5.1855239989322044</c:v>
                </c:pt>
                <c:pt idx="14">
                  <c:v>5.1699417118761861</c:v>
                </c:pt>
                <c:pt idx="15">
                  <c:v>5.1634054170216368</c:v>
                </c:pt>
                <c:pt idx="16">
                  <c:v>5.1784055972950851</c:v>
                </c:pt>
                <c:pt idx="17">
                  <c:v>5.2047870343647418</c:v>
                </c:pt>
                <c:pt idx="18">
                  <c:v>5.2316961001757925</c:v>
                </c:pt>
                <c:pt idx="19">
                  <c:v>5.2591433473030635</c:v>
                </c:pt>
                <c:pt idx="20">
                  <c:v>5.2871395393728795</c:v>
                </c:pt>
              </c:numCache>
            </c:numRef>
          </c:val>
          <c:extLst>
            <c:ext xmlns:c16="http://schemas.microsoft.com/office/drawing/2014/chart" uri="{C3380CC4-5D6E-409C-BE32-E72D297353CC}">
              <c16:uniqueId val="{00000002-95C4-4F84-AD80-69AE9678356C}"/>
            </c:ext>
          </c:extLst>
        </c:ser>
        <c:ser>
          <c:idx val="3"/>
          <c:order val="3"/>
          <c:tx>
            <c:strRef>
              <c:f>'Completion Data - Scenario 2'!$E$1</c:f>
              <c:strCache>
                <c:ptCount val="1"/>
                <c:pt idx="0">
                  <c:v>Construction Specialist</c:v>
                </c:pt>
              </c:strCache>
            </c:strRef>
          </c:tx>
          <c:spPr>
            <a:solidFill>
              <a:schemeClr val="accent4"/>
            </a:solidFill>
            <a:ln>
              <a:noFill/>
            </a:ln>
            <a:effectLst/>
          </c:spPr>
          <c:invertIfNegative val="0"/>
          <c:cat>
            <c:strRef>
              <c:f>'Completion Data - Scenario 2'!$A$2:$A$22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2'!$E$2:$E$22</c:f>
              <c:numCache>
                <c:formatCode>0</c:formatCode>
                <c:ptCount val="21"/>
                <c:pt idx="0">
                  <c:v>20.25</c:v>
                </c:pt>
                <c:pt idx="1">
                  <c:v>21.25</c:v>
                </c:pt>
                <c:pt idx="2">
                  <c:v>32.799999999999997</c:v>
                </c:pt>
                <c:pt idx="3">
                  <c:v>28.7</c:v>
                </c:pt>
                <c:pt idx="4">
                  <c:v>32.400000000000006</c:v>
                </c:pt>
                <c:pt idx="5">
                  <c:v>24.660000000000004</c:v>
                </c:pt>
                <c:pt idx="6">
                  <c:v>28.770000000000003</c:v>
                </c:pt>
                <c:pt idx="7">
                  <c:v>11.4</c:v>
                </c:pt>
                <c:pt idx="8">
                  <c:v>8.1000000000000014</c:v>
                </c:pt>
                <c:pt idx="9">
                  <c:v>9.9</c:v>
                </c:pt>
                <c:pt idx="10">
                  <c:v>0</c:v>
                </c:pt>
                <c:pt idx="11">
                  <c:v>0</c:v>
                </c:pt>
                <c:pt idx="12">
                  <c:v>0</c:v>
                </c:pt>
                <c:pt idx="13">
                  <c:v>12.72810436101541</c:v>
                </c:pt>
                <c:pt idx="14">
                  <c:v>12.689856929150638</c:v>
                </c:pt>
                <c:pt idx="15">
                  <c:v>12.673813296325836</c:v>
                </c:pt>
                <c:pt idx="16">
                  <c:v>12.710631920633389</c:v>
                </c:pt>
                <c:pt idx="17">
                  <c:v>12.775386357077091</c:v>
                </c:pt>
                <c:pt idx="18">
                  <c:v>12.841435882249673</c:v>
                </c:pt>
                <c:pt idx="19">
                  <c:v>12.9088063979257</c:v>
                </c:pt>
                <c:pt idx="20">
                  <c:v>12.977524323915249</c:v>
                </c:pt>
              </c:numCache>
            </c:numRef>
          </c:val>
          <c:extLst>
            <c:ext xmlns:c16="http://schemas.microsoft.com/office/drawing/2014/chart" uri="{C3380CC4-5D6E-409C-BE32-E72D297353CC}">
              <c16:uniqueId val="{00000003-95C4-4F84-AD80-69AE9678356C}"/>
            </c:ext>
          </c:extLst>
        </c:ser>
        <c:ser>
          <c:idx val="4"/>
          <c:order val="4"/>
          <c:tx>
            <c:strRef>
              <c:f>'Completion Data - Scenario 2'!$F$1</c:f>
              <c:strCache>
                <c:ptCount val="1"/>
                <c:pt idx="0">
                  <c:v>Construction (Civl Engineering)</c:v>
                </c:pt>
              </c:strCache>
            </c:strRef>
          </c:tx>
          <c:spPr>
            <a:solidFill>
              <a:schemeClr val="accent5"/>
            </a:solidFill>
            <a:ln>
              <a:noFill/>
            </a:ln>
            <a:effectLst/>
          </c:spPr>
          <c:invertIfNegative val="0"/>
          <c:cat>
            <c:strRef>
              <c:f>'Completion Data - Scenario 2'!$A$2:$A$22</c:f>
              <c:strCache>
                <c:ptCount val="21"/>
                <c:pt idx="0">
                  <c:v>2014/15 </c:v>
                </c:pt>
                <c:pt idx="1">
                  <c:v>2015/16 </c:v>
                </c:pt>
                <c:pt idx="2">
                  <c:v>2016/17 </c:v>
                </c:pt>
                <c:pt idx="3">
                  <c:v>2017/18 </c:v>
                </c:pt>
                <c:pt idx="4">
                  <c:v>2018/19 </c:v>
                </c:pt>
                <c:pt idx="5">
                  <c:v>2019/20 </c:v>
                </c:pt>
                <c:pt idx="6">
                  <c:v>2020/21 </c:v>
                </c:pt>
                <c:pt idx="7">
                  <c:v>2021/22 </c:v>
                </c:pt>
                <c:pt idx="8">
                  <c:v>2022/23 </c:v>
                </c:pt>
                <c:pt idx="9">
                  <c:v>2023/24 </c:v>
                </c:pt>
                <c:pt idx="10">
                  <c:v>2024/25 </c:v>
                </c:pt>
                <c:pt idx="11">
                  <c:v>2025/26</c:v>
                </c:pt>
                <c:pt idx="12">
                  <c:v>2026/27</c:v>
                </c:pt>
                <c:pt idx="13">
                  <c:v>2027/28</c:v>
                </c:pt>
                <c:pt idx="14">
                  <c:v>2028/29</c:v>
                </c:pt>
                <c:pt idx="15">
                  <c:v>2029/30</c:v>
                </c:pt>
                <c:pt idx="16">
                  <c:v>2030/31</c:v>
                </c:pt>
                <c:pt idx="17">
                  <c:v>2031/32</c:v>
                </c:pt>
                <c:pt idx="18">
                  <c:v>2032/33</c:v>
                </c:pt>
                <c:pt idx="19">
                  <c:v>2033/34</c:v>
                </c:pt>
                <c:pt idx="20">
                  <c:v>2034/35</c:v>
                </c:pt>
              </c:strCache>
            </c:strRef>
          </c:cat>
          <c:val>
            <c:numRef>
              <c:f>'Completion Data - Scenario 2'!$F$2:$F$22</c:f>
              <c:numCache>
                <c:formatCode>0</c:formatCode>
                <c:ptCount val="21"/>
                <c:pt idx="0">
                  <c:v>0</c:v>
                </c:pt>
                <c:pt idx="1">
                  <c:v>21.25</c:v>
                </c:pt>
                <c:pt idx="2">
                  <c:v>16.399999999999999</c:v>
                </c:pt>
                <c:pt idx="3">
                  <c:v>0</c:v>
                </c:pt>
                <c:pt idx="4">
                  <c:v>0</c:v>
                </c:pt>
                <c:pt idx="5">
                  <c:v>0</c:v>
                </c:pt>
                <c:pt idx="6">
                  <c:v>8.2200000000000006</c:v>
                </c:pt>
                <c:pt idx="7">
                  <c:v>0</c:v>
                </c:pt>
                <c:pt idx="8">
                  <c:v>16.200000000000003</c:v>
                </c:pt>
                <c:pt idx="9">
                  <c:v>16.5</c:v>
                </c:pt>
                <c:pt idx="10">
                  <c:v>13.466666666666667</c:v>
                </c:pt>
                <c:pt idx="11">
                  <c:v>20.2</c:v>
                </c:pt>
                <c:pt idx="12">
                  <c:v>20.2</c:v>
                </c:pt>
                <c:pt idx="13">
                  <c:v>7.0711690894530035</c:v>
                </c:pt>
                <c:pt idx="14">
                  <c:v>7.0499205161947982</c:v>
                </c:pt>
                <c:pt idx="15">
                  <c:v>7.041007386847685</c:v>
                </c:pt>
                <c:pt idx="16">
                  <c:v>7.0614621781296592</c:v>
                </c:pt>
                <c:pt idx="17">
                  <c:v>7.0974368650428277</c:v>
                </c:pt>
                <c:pt idx="18">
                  <c:v>7.1341310456942599</c:v>
                </c:pt>
                <c:pt idx="19">
                  <c:v>7.1715591099587206</c:v>
                </c:pt>
                <c:pt idx="20">
                  <c:v>7.2097357355084704</c:v>
                </c:pt>
              </c:numCache>
            </c:numRef>
          </c:val>
          <c:extLst>
            <c:ext xmlns:c16="http://schemas.microsoft.com/office/drawing/2014/chart" uri="{C3380CC4-5D6E-409C-BE32-E72D297353CC}">
              <c16:uniqueId val="{00000004-95C4-4F84-AD80-69AE9678356C}"/>
            </c:ext>
          </c:extLst>
        </c:ser>
        <c:dLbls>
          <c:showLegendKey val="0"/>
          <c:showVal val="0"/>
          <c:showCatName val="0"/>
          <c:showSerName val="0"/>
          <c:showPercent val="0"/>
          <c:showBubbleSize val="0"/>
        </c:dLbls>
        <c:gapWidth val="150"/>
        <c:overlap val="100"/>
        <c:axId val="821603360"/>
        <c:axId val="821617760"/>
      </c:barChart>
      <c:catAx>
        <c:axId val="8216033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crossAx val="821617760"/>
        <c:crosses val="autoZero"/>
        <c:auto val="1"/>
        <c:lblAlgn val="ctr"/>
        <c:lblOffset val="100"/>
        <c:noMultiLvlLbl val="0"/>
      </c:catAx>
      <c:valAx>
        <c:axId val="82161776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crossAx val="8216033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Helvetica Neue LT Std 65 Medium"/>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800">
          <a:latin typeface="Helvetica Neue LT Std 65 Medium"/>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0.11326</cdr:x>
      <cdr:y>0.02229</cdr:y>
    </cdr:from>
    <cdr:to>
      <cdr:x>0.96519</cdr:x>
      <cdr:y>0.07396</cdr:y>
    </cdr:to>
    <cdr:grpSp>
      <cdr:nvGrpSpPr>
        <cdr:cNvPr id="2" name="Group 1"/>
        <cdr:cNvGrpSpPr/>
      </cdr:nvGrpSpPr>
      <cdr:grpSpPr>
        <a:xfrm xmlns:a="http://schemas.openxmlformats.org/drawingml/2006/main">
          <a:off x="650875" y="69850"/>
          <a:ext cx="4895850" cy="161925"/>
          <a:chOff x="-1533525" y="-5600700"/>
          <a:chExt cx="4895850" cy="161925"/>
        </a:xfrm>
      </cdr:grpSpPr>
      <cdr:sp macro="" textlink="">
        <cdr:nvSpPr>
          <cdr:cNvPr id="3" name="Rectangle 2"/>
          <cdr:cNvSpPr/>
        </cdr:nvSpPr>
        <cdr:spPr>
          <a:xfrm xmlns:a="http://schemas.openxmlformats.org/drawingml/2006/main">
            <a:off x="-1533525"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29,900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4" name="Rectangle 3"/>
          <cdr:cNvSpPr/>
        </cdr:nvSpPr>
        <cdr:spPr>
          <a:xfrm xmlns:a="http://schemas.openxmlformats.org/drawingml/2006/main">
            <a:off x="-1028700"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34,200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5" name="Rectangle 4"/>
          <cdr:cNvSpPr/>
        </cdr:nvSpPr>
        <cdr:spPr>
          <a:xfrm xmlns:a="http://schemas.openxmlformats.org/drawingml/2006/main">
            <a:off x="-533400"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40,000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6" name="Rectangle 5"/>
          <cdr:cNvSpPr/>
        </cdr:nvSpPr>
        <cdr:spPr>
          <a:xfrm xmlns:a="http://schemas.openxmlformats.org/drawingml/2006/main">
            <a:off x="-28575"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47,500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7" name="Rectangle 6"/>
          <cdr:cNvSpPr/>
        </cdr:nvSpPr>
        <cdr:spPr>
          <a:xfrm xmlns:a="http://schemas.openxmlformats.org/drawingml/2006/main">
            <a:off x="476250"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56,900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8" name="Rectangle 7"/>
          <cdr:cNvSpPr/>
        </cdr:nvSpPr>
        <cdr:spPr>
          <a:xfrm xmlns:a="http://schemas.openxmlformats.org/drawingml/2006/main">
            <a:off x="971550"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67,700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9" name="Rectangle 8"/>
          <cdr:cNvSpPr/>
        </cdr:nvSpPr>
        <cdr:spPr>
          <a:xfrm xmlns:a="http://schemas.openxmlformats.org/drawingml/2006/main">
            <a:off x="1476375"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78,900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10" name="Rectangle 9"/>
          <cdr:cNvSpPr/>
        </cdr:nvSpPr>
        <cdr:spPr>
          <a:xfrm xmlns:a="http://schemas.openxmlformats.org/drawingml/2006/main">
            <a:off x="1981200"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88,300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11" name="Rectangle 10"/>
          <cdr:cNvSpPr/>
        </cdr:nvSpPr>
        <cdr:spPr>
          <a:xfrm xmlns:a="http://schemas.openxmlformats.org/drawingml/2006/main">
            <a:off x="2476500"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93,800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sp macro="" textlink="">
        <cdr:nvSpPr>
          <cdr:cNvPr id="12" name="Rectangle 11"/>
          <cdr:cNvSpPr/>
        </cdr:nvSpPr>
        <cdr:spPr>
          <a:xfrm xmlns:a="http://schemas.openxmlformats.org/drawingml/2006/main">
            <a:off x="2981325" y="-5600700"/>
            <a:ext cx="381000" cy="161925"/>
          </a:xfrm>
          <a:prstGeom xmlns:a="http://schemas.openxmlformats.org/drawingml/2006/main" prst="rect">
            <a:avLst/>
          </a:prstGeom>
          <a:solidFill xmlns:a="http://schemas.openxmlformats.org/drawingml/2006/main">
            <a:srgbClr val="C4C5C6">
              <a:alpha val="50196"/>
            </a:srgb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rot="0" spcFirstLastPara="0" vert="horz" wrap="square" lIns="0" tIns="0" rIns="0" bIns="0" numCol="1" spcCol="0" rtlCol="0" fromWordArt="0" anchor="ctr" anchorCtr="0" forceAA="0" compatLnSpc="1">
            <a:prstTxWarp prst="textNoShape">
              <a:avLst/>
            </a:prstTxWarp>
            <a:noAutofit/>
          </a:bodyPr>
          <a:lstStyle xmlns:a="http://schemas.openxmlformats.org/drawingml/2006/main"/>
          <a:p xmlns:a="http://schemas.openxmlformats.org/drawingml/2006/main">
            <a:pPr algn="ctr">
              <a:spcAft>
                <a:spcPts val="900"/>
              </a:spcAft>
              <a:buNone/>
            </a:pPr>
            <a:r>
              <a:rPr lang="en-GB" sz="800" b="1">
                <a:solidFill>
                  <a:srgbClr val="40403E"/>
                </a:solidFill>
                <a:effectLst/>
                <a:latin typeface="Helvetica Neue LT Std 65 Medium"/>
                <a:ea typeface="Microsoft JhengHei" panose="020B0604030504040204" pitchFamily="34" charset="-120"/>
                <a:cs typeface="Times New Roman" panose="02020603050405020304" pitchFamily="18" charset="0"/>
              </a:rPr>
              <a:t>93,400</a:t>
            </a:r>
            <a:endParaRPr lang="en-GB" sz="1100">
              <a:solidFill>
                <a:srgbClr val="40403E"/>
              </a:solidFill>
              <a:effectLst/>
              <a:latin typeface="Helvetica Neue LT Std 65 Medium"/>
              <a:ea typeface="Microsoft JhengHei" panose="020B0604030504040204" pitchFamily="34" charset="-120"/>
              <a:cs typeface="Times New Roman" panose="02020603050405020304" pitchFamily="18" charset="0"/>
            </a:endParaRPr>
          </a:p>
        </cdr:txBody>
      </cdr:sp>
    </cdr:grpSp>
  </cdr:relSizeAnchor>
</c:userShapes>
</file>

<file path=word/theme/theme1.xml><?xml version="1.0" encoding="utf-8"?>
<a:theme xmlns:a="http://schemas.openxmlformats.org/drawingml/2006/main" name="Office Theme">
  <a:themeElements>
    <a:clrScheme name="Cebr Colours">
      <a:dk1>
        <a:sysClr val="windowText" lastClr="000000"/>
      </a:dk1>
      <a:lt1>
        <a:sysClr val="window" lastClr="FFFFFF"/>
      </a:lt1>
      <a:dk2>
        <a:srgbClr val="008C9B"/>
      </a:dk2>
      <a:lt2>
        <a:srgbClr val="EEECE1"/>
      </a:lt2>
      <a:accent1>
        <a:srgbClr val="008C9B"/>
      </a:accent1>
      <a:accent2>
        <a:srgbClr val="00AEEF"/>
      </a:accent2>
      <a:accent3>
        <a:srgbClr val="6D6E71"/>
      </a:accent3>
      <a:accent4>
        <a:srgbClr val="BCBEC0"/>
      </a:accent4>
      <a:accent5>
        <a:srgbClr val="ED1C24"/>
      </a:accent5>
      <a:accent6>
        <a:srgbClr val="004A53"/>
      </a:accent6>
      <a:hlink>
        <a:srgbClr val="0000FF"/>
      </a:hlink>
      <a:folHlink>
        <a:srgbClr val="800080"/>
      </a:folHlink>
    </a:clrScheme>
    <a:fontScheme name="Composite">
      <a:majorFont>
        <a:latin typeface="Calibri"/>
        <a:ea typeface=""/>
        <a:cs typeface=""/>
        <a:font script="Jpan" typeface="ＭＳ Ｐゴシック"/>
        <a:font script="Hang" typeface="맑은 고딕"/>
        <a:font script="Hans" typeface="宋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lnDef>
      <a:spPr>
        <a:ln w="6350">
          <a:solidFill>
            <a:schemeClr val="tx1"/>
          </a:solidFill>
        </a:ln>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A61907716</value>
    </field>
    <field name="Objective-Title">
      <value order="0">Centre for Economics and Business Research "CEBR" Assessing workforce requirements for home retrofitting in Wales - eng</value>
    </field>
    <field name="Objective-Description">
      <value order="0"/>
    </field>
    <field name="Objective-CreationStamp">
      <value order="0">2026-03-05T07:37:33Z</value>
    </field>
    <field name="Objective-IsApproved">
      <value order="0">false</value>
    </field>
    <field name="Objective-IsPublished">
      <value order="0">false</value>
    </field>
    <field name="Objective-DatePublished">
      <value order="0"/>
    </field>
    <field name="Objective-ModificationStamp">
      <value order="0">2026-03-05T08:35:04Z</value>
    </field>
    <field name="Objective-Owner">
      <value order="0">Davies, Malcolm (LGHCCRA - Housing Quality Division)</value>
    </field>
    <field name="Objective-Path">
      <value order="0">Objective Global Folder:#Business File Plan:WG Organisational Groups:Post April 2024 - Corporate Services &amp; Inspectorates:Corporate Services &amp; Inspectorates (CSI) - Commercial and Procurement - Procurement Delivery:1 - Save:1 - CPS:Corporate Procurement Services - Contracts - ┬ú25k to Official Journal of the EU (OJEU):Procurement - ┬ú25k to OJEU/FTS - 2025/2026:LGHCCRA - Housing Quality Division - C229/2025/2026 - Construction Workforce Assessment :LGHCCRA - Housing Quality Division - C229/2025/2026 - Construction Workforce Assessment :Web Page</value>
    </field>
    <field name="Objective-Parent">
      <value order="0">Web Page</value>
    </field>
    <field name="Objective-State">
      <value order="0">Being Drafted</value>
    </field>
    <field name="Objective-VersionId">
      <value order="0">vA111523035</value>
    </field>
    <field name="Objective-Version">
      <value order="0">0.1</value>
    </field>
    <field name="Objective-VersionNumber">
      <value order="0">1</value>
    </field>
    <field name="Objective-VersionComment">
      <value order="0">First version</value>
    </field>
    <field name="Objective-FileNumber">
      <value order="0">qA2365510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6EA48E2A-089D-477A-9911-618195513C78}">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55</Pages>
  <Words>14435</Words>
  <Characters>88500</Characters>
  <Application>Microsoft Office Word</Application>
  <DocSecurity>0</DocSecurity>
  <Lines>2681</Lines>
  <Paragraphs>1559</Paragraphs>
  <ScaleCrop>false</ScaleCrop>
  <Company/>
  <LinksUpToDate>false</LinksUpToDate>
  <CharactersWithSpaces>101376</CharactersWithSpaces>
  <SharedDoc>false</SharedDoc>
  <HLinks>
    <vt:vector size="180" baseType="variant">
      <vt:variant>
        <vt:i4>4718682</vt:i4>
      </vt:variant>
      <vt:variant>
        <vt:i4>210</vt:i4>
      </vt:variant>
      <vt:variant>
        <vt:i4>0</vt:i4>
      </vt:variant>
      <vt:variant>
        <vt:i4>5</vt:i4>
      </vt:variant>
      <vt:variant>
        <vt:lpwstr>https://www.ecitb.org.uk/wp-content/uploads/2020/08/Skills-Transferability-Report-FA.pdf</vt:lpwstr>
      </vt:variant>
      <vt:variant>
        <vt:lpwstr/>
      </vt:variant>
      <vt:variant>
        <vt:i4>5570586</vt:i4>
      </vt:variant>
      <vt:variant>
        <vt:i4>165</vt:i4>
      </vt:variant>
      <vt:variant>
        <vt:i4>0</vt:i4>
      </vt:variant>
      <vt:variant>
        <vt:i4>5</vt:i4>
      </vt:variant>
      <vt:variant>
        <vt:lpwstr>https://www.theccc.org.uk/publication/wales-fourth-carbon-budget/</vt:lpwstr>
      </vt:variant>
      <vt:variant>
        <vt:lpwstr/>
      </vt:variant>
      <vt:variant>
        <vt:i4>4259860</vt:i4>
      </vt:variant>
      <vt:variant>
        <vt:i4>162</vt:i4>
      </vt:variant>
      <vt:variant>
        <vt:i4>0</vt:i4>
      </vt:variant>
      <vt:variant>
        <vt:i4>5</vt:i4>
      </vt:variant>
      <vt:variant>
        <vt:lpwstr>https://www.gov.wales/welsh-housing-conditions-survey</vt:lpwstr>
      </vt:variant>
      <vt:variant>
        <vt:lpwstr/>
      </vt:variant>
      <vt:variant>
        <vt:i4>1441850</vt:i4>
      </vt:variant>
      <vt:variant>
        <vt:i4>152</vt:i4>
      </vt:variant>
      <vt:variant>
        <vt:i4>0</vt:i4>
      </vt:variant>
      <vt:variant>
        <vt:i4>5</vt:i4>
      </vt:variant>
      <vt:variant>
        <vt:lpwstr/>
      </vt:variant>
      <vt:variant>
        <vt:lpwstr>_Toc219978612</vt:lpwstr>
      </vt:variant>
      <vt:variant>
        <vt:i4>1441850</vt:i4>
      </vt:variant>
      <vt:variant>
        <vt:i4>146</vt:i4>
      </vt:variant>
      <vt:variant>
        <vt:i4>0</vt:i4>
      </vt:variant>
      <vt:variant>
        <vt:i4>5</vt:i4>
      </vt:variant>
      <vt:variant>
        <vt:lpwstr/>
      </vt:variant>
      <vt:variant>
        <vt:lpwstr>_Toc219978611</vt:lpwstr>
      </vt:variant>
      <vt:variant>
        <vt:i4>1441850</vt:i4>
      </vt:variant>
      <vt:variant>
        <vt:i4>140</vt:i4>
      </vt:variant>
      <vt:variant>
        <vt:i4>0</vt:i4>
      </vt:variant>
      <vt:variant>
        <vt:i4>5</vt:i4>
      </vt:variant>
      <vt:variant>
        <vt:lpwstr/>
      </vt:variant>
      <vt:variant>
        <vt:lpwstr>_Toc219978610</vt:lpwstr>
      </vt:variant>
      <vt:variant>
        <vt:i4>1507386</vt:i4>
      </vt:variant>
      <vt:variant>
        <vt:i4>134</vt:i4>
      </vt:variant>
      <vt:variant>
        <vt:i4>0</vt:i4>
      </vt:variant>
      <vt:variant>
        <vt:i4>5</vt:i4>
      </vt:variant>
      <vt:variant>
        <vt:lpwstr/>
      </vt:variant>
      <vt:variant>
        <vt:lpwstr>_Toc219978609</vt:lpwstr>
      </vt:variant>
      <vt:variant>
        <vt:i4>1507386</vt:i4>
      </vt:variant>
      <vt:variant>
        <vt:i4>128</vt:i4>
      </vt:variant>
      <vt:variant>
        <vt:i4>0</vt:i4>
      </vt:variant>
      <vt:variant>
        <vt:i4>5</vt:i4>
      </vt:variant>
      <vt:variant>
        <vt:lpwstr/>
      </vt:variant>
      <vt:variant>
        <vt:lpwstr>_Toc219978608</vt:lpwstr>
      </vt:variant>
      <vt:variant>
        <vt:i4>1507386</vt:i4>
      </vt:variant>
      <vt:variant>
        <vt:i4>122</vt:i4>
      </vt:variant>
      <vt:variant>
        <vt:i4>0</vt:i4>
      </vt:variant>
      <vt:variant>
        <vt:i4>5</vt:i4>
      </vt:variant>
      <vt:variant>
        <vt:lpwstr/>
      </vt:variant>
      <vt:variant>
        <vt:lpwstr>_Toc219978607</vt:lpwstr>
      </vt:variant>
      <vt:variant>
        <vt:i4>1507386</vt:i4>
      </vt:variant>
      <vt:variant>
        <vt:i4>116</vt:i4>
      </vt:variant>
      <vt:variant>
        <vt:i4>0</vt:i4>
      </vt:variant>
      <vt:variant>
        <vt:i4>5</vt:i4>
      </vt:variant>
      <vt:variant>
        <vt:lpwstr/>
      </vt:variant>
      <vt:variant>
        <vt:lpwstr>_Toc219978606</vt:lpwstr>
      </vt:variant>
      <vt:variant>
        <vt:i4>1507386</vt:i4>
      </vt:variant>
      <vt:variant>
        <vt:i4>110</vt:i4>
      </vt:variant>
      <vt:variant>
        <vt:i4>0</vt:i4>
      </vt:variant>
      <vt:variant>
        <vt:i4>5</vt:i4>
      </vt:variant>
      <vt:variant>
        <vt:lpwstr/>
      </vt:variant>
      <vt:variant>
        <vt:lpwstr>_Toc219978605</vt:lpwstr>
      </vt:variant>
      <vt:variant>
        <vt:i4>1507386</vt:i4>
      </vt:variant>
      <vt:variant>
        <vt:i4>104</vt:i4>
      </vt:variant>
      <vt:variant>
        <vt:i4>0</vt:i4>
      </vt:variant>
      <vt:variant>
        <vt:i4>5</vt:i4>
      </vt:variant>
      <vt:variant>
        <vt:lpwstr/>
      </vt:variant>
      <vt:variant>
        <vt:lpwstr>_Toc219978604</vt:lpwstr>
      </vt:variant>
      <vt:variant>
        <vt:i4>1507386</vt:i4>
      </vt:variant>
      <vt:variant>
        <vt:i4>98</vt:i4>
      </vt:variant>
      <vt:variant>
        <vt:i4>0</vt:i4>
      </vt:variant>
      <vt:variant>
        <vt:i4>5</vt:i4>
      </vt:variant>
      <vt:variant>
        <vt:lpwstr/>
      </vt:variant>
      <vt:variant>
        <vt:lpwstr>_Toc219978603</vt:lpwstr>
      </vt:variant>
      <vt:variant>
        <vt:i4>1507386</vt:i4>
      </vt:variant>
      <vt:variant>
        <vt:i4>92</vt:i4>
      </vt:variant>
      <vt:variant>
        <vt:i4>0</vt:i4>
      </vt:variant>
      <vt:variant>
        <vt:i4>5</vt:i4>
      </vt:variant>
      <vt:variant>
        <vt:lpwstr/>
      </vt:variant>
      <vt:variant>
        <vt:lpwstr>_Toc219978602</vt:lpwstr>
      </vt:variant>
      <vt:variant>
        <vt:i4>1507386</vt:i4>
      </vt:variant>
      <vt:variant>
        <vt:i4>86</vt:i4>
      </vt:variant>
      <vt:variant>
        <vt:i4>0</vt:i4>
      </vt:variant>
      <vt:variant>
        <vt:i4>5</vt:i4>
      </vt:variant>
      <vt:variant>
        <vt:lpwstr/>
      </vt:variant>
      <vt:variant>
        <vt:lpwstr>_Toc219978601</vt:lpwstr>
      </vt:variant>
      <vt:variant>
        <vt:i4>1507386</vt:i4>
      </vt:variant>
      <vt:variant>
        <vt:i4>80</vt:i4>
      </vt:variant>
      <vt:variant>
        <vt:i4>0</vt:i4>
      </vt:variant>
      <vt:variant>
        <vt:i4>5</vt:i4>
      </vt:variant>
      <vt:variant>
        <vt:lpwstr/>
      </vt:variant>
      <vt:variant>
        <vt:lpwstr>_Toc219978600</vt:lpwstr>
      </vt:variant>
      <vt:variant>
        <vt:i4>1966137</vt:i4>
      </vt:variant>
      <vt:variant>
        <vt:i4>74</vt:i4>
      </vt:variant>
      <vt:variant>
        <vt:i4>0</vt:i4>
      </vt:variant>
      <vt:variant>
        <vt:i4>5</vt:i4>
      </vt:variant>
      <vt:variant>
        <vt:lpwstr/>
      </vt:variant>
      <vt:variant>
        <vt:lpwstr>_Toc219978599</vt:lpwstr>
      </vt:variant>
      <vt:variant>
        <vt:i4>1966137</vt:i4>
      </vt:variant>
      <vt:variant>
        <vt:i4>68</vt:i4>
      </vt:variant>
      <vt:variant>
        <vt:i4>0</vt:i4>
      </vt:variant>
      <vt:variant>
        <vt:i4>5</vt:i4>
      </vt:variant>
      <vt:variant>
        <vt:lpwstr/>
      </vt:variant>
      <vt:variant>
        <vt:lpwstr>_Toc219978598</vt:lpwstr>
      </vt:variant>
      <vt:variant>
        <vt:i4>1966137</vt:i4>
      </vt:variant>
      <vt:variant>
        <vt:i4>62</vt:i4>
      </vt:variant>
      <vt:variant>
        <vt:i4>0</vt:i4>
      </vt:variant>
      <vt:variant>
        <vt:i4>5</vt:i4>
      </vt:variant>
      <vt:variant>
        <vt:lpwstr/>
      </vt:variant>
      <vt:variant>
        <vt:lpwstr>_Toc219978597</vt:lpwstr>
      </vt:variant>
      <vt:variant>
        <vt:i4>1966137</vt:i4>
      </vt:variant>
      <vt:variant>
        <vt:i4>56</vt:i4>
      </vt:variant>
      <vt:variant>
        <vt:i4>0</vt:i4>
      </vt:variant>
      <vt:variant>
        <vt:i4>5</vt:i4>
      </vt:variant>
      <vt:variant>
        <vt:lpwstr/>
      </vt:variant>
      <vt:variant>
        <vt:lpwstr>_Toc219978596</vt:lpwstr>
      </vt:variant>
      <vt:variant>
        <vt:i4>1966137</vt:i4>
      </vt:variant>
      <vt:variant>
        <vt:i4>50</vt:i4>
      </vt:variant>
      <vt:variant>
        <vt:i4>0</vt:i4>
      </vt:variant>
      <vt:variant>
        <vt:i4>5</vt:i4>
      </vt:variant>
      <vt:variant>
        <vt:lpwstr/>
      </vt:variant>
      <vt:variant>
        <vt:lpwstr>_Toc219978595</vt:lpwstr>
      </vt:variant>
      <vt:variant>
        <vt:i4>1966137</vt:i4>
      </vt:variant>
      <vt:variant>
        <vt:i4>44</vt:i4>
      </vt:variant>
      <vt:variant>
        <vt:i4>0</vt:i4>
      </vt:variant>
      <vt:variant>
        <vt:i4>5</vt:i4>
      </vt:variant>
      <vt:variant>
        <vt:lpwstr/>
      </vt:variant>
      <vt:variant>
        <vt:lpwstr>_Toc219978594</vt:lpwstr>
      </vt:variant>
      <vt:variant>
        <vt:i4>1966137</vt:i4>
      </vt:variant>
      <vt:variant>
        <vt:i4>38</vt:i4>
      </vt:variant>
      <vt:variant>
        <vt:i4>0</vt:i4>
      </vt:variant>
      <vt:variant>
        <vt:i4>5</vt:i4>
      </vt:variant>
      <vt:variant>
        <vt:lpwstr/>
      </vt:variant>
      <vt:variant>
        <vt:lpwstr>_Toc219978593</vt:lpwstr>
      </vt:variant>
      <vt:variant>
        <vt:i4>1966137</vt:i4>
      </vt:variant>
      <vt:variant>
        <vt:i4>32</vt:i4>
      </vt:variant>
      <vt:variant>
        <vt:i4>0</vt:i4>
      </vt:variant>
      <vt:variant>
        <vt:i4>5</vt:i4>
      </vt:variant>
      <vt:variant>
        <vt:lpwstr/>
      </vt:variant>
      <vt:variant>
        <vt:lpwstr>_Toc219978592</vt:lpwstr>
      </vt:variant>
      <vt:variant>
        <vt:i4>1966137</vt:i4>
      </vt:variant>
      <vt:variant>
        <vt:i4>26</vt:i4>
      </vt:variant>
      <vt:variant>
        <vt:i4>0</vt:i4>
      </vt:variant>
      <vt:variant>
        <vt:i4>5</vt:i4>
      </vt:variant>
      <vt:variant>
        <vt:lpwstr/>
      </vt:variant>
      <vt:variant>
        <vt:lpwstr>_Toc219978591</vt:lpwstr>
      </vt:variant>
      <vt:variant>
        <vt:i4>1966137</vt:i4>
      </vt:variant>
      <vt:variant>
        <vt:i4>20</vt:i4>
      </vt:variant>
      <vt:variant>
        <vt:i4>0</vt:i4>
      </vt:variant>
      <vt:variant>
        <vt:i4>5</vt:i4>
      </vt:variant>
      <vt:variant>
        <vt:lpwstr/>
      </vt:variant>
      <vt:variant>
        <vt:lpwstr>_Toc219978590</vt:lpwstr>
      </vt:variant>
      <vt:variant>
        <vt:i4>2031673</vt:i4>
      </vt:variant>
      <vt:variant>
        <vt:i4>14</vt:i4>
      </vt:variant>
      <vt:variant>
        <vt:i4>0</vt:i4>
      </vt:variant>
      <vt:variant>
        <vt:i4>5</vt:i4>
      </vt:variant>
      <vt:variant>
        <vt:lpwstr/>
      </vt:variant>
      <vt:variant>
        <vt:lpwstr>_Toc219978589</vt:lpwstr>
      </vt:variant>
      <vt:variant>
        <vt:i4>2031673</vt:i4>
      </vt:variant>
      <vt:variant>
        <vt:i4>8</vt:i4>
      </vt:variant>
      <vt:variant>
        <vt:i4>0</vt:i4>
      </vt:variant>
      <vt:variant>
        <vt:i4>5</vt:i4>
      </vt:variant>
      <vt:variant>
        <vt:lpwstr/>
      </vt:variant>
      <vt:variant>
        <vt:lpwstr>_Toc219978588</vt:lpwstr>
      </vt:variant>
      <vt:variant>
        <vt:i4>2031673</vt:i4>
      </vt:variant>
      <vt:variant>
        <vt:i4>2</vt:i4>
      </vt:variant>
      <vt:variant>
        <vt:i4>0</vt:i4>
      </vt:variant>
      <vt:variant>
        <vt:i4>5</vt:i4>
      </vt:variant>
      <vt:variant>
        <vt:lpwstr/>
      </vt:variant>
      <vt:variant>
        <vt:lpwstr>_Toc219978587</vt:lpwstr>
      </vt:variant>
      <vt:variant>
        <vt:i4>5636104</vt:i4>
      </vt:variant>
      <vt:variant>
        <vt:i4>0</vt:i4>
      </vt:variant>
      <vt:variant>
        <vt:i4>0</vt:i4>
      </vt:variant>
      <vt:variant>
        <vt:i4>5</vt:i4>
      </vt:variant>
      <vt:variant>
        <vt:lpwstr>https://www.gov.wales/sites/default/files/statistics-and-research/2018-12/070327-commuting-in-and-around-wales-en.pdf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2026-03-10T18:41:00Z</dcterms:created>
  <dcterms:modified xsi:type="dcterms:W3CDTF">2026-03-10T18:41:00Z</dcterms:modified>
</cp:coreProperties>
</file>